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5F470" w14:textId="77777777" w:rsidR="002945A9" w:rsidRDefault="002945A9" w:rsidP="00991759">
      <w:pPr>
        <w:tabs>
          <w:tab w:val="center" w:pos="4536"/>
          <w:tab w:val="left" w:pos="7800"/>
        </w:tabs>
        <w:jc w:val="center"/>
      </w:pPr>
      <w:r>
        <w:tab/>
      </w:r>
      <w:r>
        <w:tab/>
      </w:r>
      <w:r>
        <w:tab/>
        <w:t xml:space="preserve">                                         </w:t>
      </w:r>
    </w:p>
    <w:p w14:paraId="2295F471" w14:textId="77777777" w:rsidR="002945A9" w:rsidRDefault="002945A9" w:rsidP="00991759">
      <w:pPr>
        <w:tabs>
          <w:tab w:val="center" w:pos="4536"/>
          <w:tab w:val="left" w:pos="7800"/>
        </w:tabs>
        <w:jc w:val="center"/>
        <w:rPr>
          <w:noProof/>
        </w:rPr>
      </w:pPr>
      <w:r>
        <w:tab/>
      </w:r>
      <w:r>
        <w:tab/>
      </w:r>
    </w:p>
    <w:p w14:paraId="2295F472" w14:textId="77777777" w:rsidR="002945A9" w:rsidRDefault="002945A9" w:rsidP="00991759">
      <w:pPr>
        <w:tabs>
          <w:tab w:val="center" w:pos="4536"/>
          <w:tab w:val="left" w:pos="7800"/>
        </w:tabs>
        <w:jc w:val="center"/>
        <w:rPr>
          <w:b/>
          <w:bCs/>
          <w:noProof/>
          <w:lang w:val="fi-FI"/>
        </w:rPr>
      </w:pPr>
    </w:p>
    <w:p w14:paraId="2295F473" w14:textId="77777777" w:rsidR="002945A9" w:rsidRDefault="00430648" w:rsidP="00991759">
      <w:pPr>
        <w:pStyle w:val="Pis"/>
        <w:tabs>
          <w:tab w:val="center" w:pos="4320"/>
          <w:tab w:val="center" w:pos="4394"/>
          <w:tab w:val="right" w:pos="9720"/>
        </w:tabs>
        <w:jc w:val="center"/>
        <w:rPr>
          <w:spacing w:val="80"/>
          <w:sz w:val="44"/>
          <w:szCs w:val="44"/>
        </w:rPr>
      </w:pPr>
      <w:r>
        <w:rPr>
          <w:noProof/>
          <w:spacing w:val="80"/>
          <w:sz w:val="44"/>
          <w:szCs w:val="44"/>
        </w:rPr>
        <w:drawing>
          <wp:inline distT="0" distB="0" distL="0" distR="0" wp14:anchorId="2295F4B0" wp14:editId="2295F4B1">
            <wp:extent cx="716280" cy="769620"/>
            <wp:effectExtent l="0" t="0" r="762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6280" cy="769620"/>
                    </a:xfrm>
                    <a:prstGeom prst="rect">
                      <a:avLst/>
                    </a:prstGeom>
                    <a:noFill/>
                    <a:ln>
                      <a:noFill/>
                    </a:ln>
                  </pic:spPr>
                </pic:pic>
              </a:graphicData>
            </a:graphic>
          </wp:inline>
        </w:drawing>
      </w:r>
    </w:p>
    <w:p w14:paraId="2295F474" w14:textId="77777777" w:rsidR="002945A9" w:rsidRDefault="002945A9" w:rsidP="00991759">
      <w:pPr>
        <w:pStyle w:val="Pis"/>
        <w:tabs>
          <w:tab w:val="center" w:pos="4320"/>
          <w:tab w:val="center" w:pos="4394"/>
          <w:tab w:val="right" w:pos="9720"/>
        </w:tabs>
        <w:jc w:val="center"/>
        <w:rPr>
          <w:spacing w:val="80"/>
        </w:rPr>
      </w:pPr>
      <w:r>
        <w:rPr>
          <w:spacing w:val="80"/>
          <w:sz w:val="44"/>
          <w:szCs w:val="44"/>
        </w:rPr>
        <w:t>KOHTUOTSUS</w:t>
      </w:r>
    </w:p>
    <w:p w14:paraId="2295F475" w14:textId="77777777" w:rsidR="002945A9" w:rsidRDefault="002945A9" w:rsidP="00991759">
      <w:pPr>
        <w:pStyle w:val="Pis"/>
        <w:tabs>
          <w:tab w:val="center" w:pos="4320"/>
          <w:tab w:val="center" w:pos="4394"/>
        </w:tabs>
        <w:jc w:val="center"/>
      </w:pPr>
      <w:r>
        <w:t>EESTI VABARIIGI NIMEL</w:t>
      </w:r>
    </w:p>
    <w:p w14:paraId="2295F477" w14:textId="77777777" w:rsidR="002945A9" w:rsidRDefault="002945A9" w:rsidP="00991759">
      <w:pPr>
        <w:pStyle w:val="Pis"/>
        <w:widowControl/>
        <w:tabs>
          <w:tab w:val="left" w:pos="708"/>
        </w:tabs>
      </w:pPr>
    </w:p>
    <w:tbl>
      <w:tblPr>
        <w:tblW w:w="9382" w:type="dxa"/>
        <w:tblInd w:w="-34" w:type="dxa"/>
        <w:tblLayout w:type="fixed"/>
        <w:tblLook w:val="00A0" w:firstRow="1" w:lastRow="0" w:firstColumn="1" w:lastColumn="0" w:noHBand="0" w:noVBand="0"/>
      </w:tblPr>
      <w:tblGrid>
        <w:gridCol w:w="3109"/>
        <w:gridCol w:w="6273"/>
      </w:tblGrid>
      <w:tr w:rsidR="002945A9" w14:paraId="2295F47A" w14:textId="77777777" w:rsidTr="004A4AC4">
        <w:trPr>
          <w:trHeight w:val="316"/>
        </w:trPr>
        <w:tc>
          <w:tcPr>
            <w:tcW w:w="3109" w:type="dxa"/>
          </w:tcPr>
          <w:p w14:paraId="2295F478" w14:textId="77777777" w:rsidR="002945A9" w:rsidRDefault="002945A9" w:rsidP="006871CD">
            <w:pPr>
              <w:spacing w:before="60" w:after="60"/>
              <w:rPr>
                <w:b/>
              </w:rPr>
            </w:pPr>
            <w:r>
              <w:rPr>
                <w:b/>
              </w:rPr>
              <w:t xml:space="preserve">Kohus </w:t>
            </w:r>
          </w:p>
        </w:tc>
        <w:tc>
          <w:tcPr>
            <w:tcW w:w="6273" w:type="dxa"/>
          </w:tcPr>
          <w:p w14:paraId="2295F479" w14:textId="33401BD6" w:rsidR="002945A9" w:rsidRDefault="00891937" w:rsidP="009263EB">
            <w:pPr>
              <w:spacing w:before="60" w:after="60"/>
            </w:pPr>
            <w:sdt>
              <w:sdtPr>
                <w:alias w:val="KohtuNimetus"/>
                <w:tag w:val="KohtuNimetus"/>
                <w:id w:val="181944638"/>
                <w:text/>
              </w:sdtPr>
              <w:sdtEndPr/>
              <w:sdtContent>
                <w:r w:rsidR="00AA3A6F">
                  <w:t>Harju Maakohus</w:t>
                </w:r>
              </w:sdtContent>
            </w:sdt>
          </w:p>
        </w:tc>
      </w:tr>
      <w:tr w:rsidR="002945A9" w14:paraId="2295F47D" w14:textId="77777777" w:rsidTr="004A4AC4">
        <w:trPr>
          <w:trHeight w:val="224"/>
        </w:trPr>
        <w:tc>
          <w:tcPr>
            <w:tcW w:w="3109" w:type="dxa"/>
          </w:tcPr>
          <w:p w14:paraId="2295F47B" w14:textId="77777777" w:rsidR="002945A9" w:rsidRDefault="002945A9" w:rsidP="006871CD">
            <w:pPr>
              <w:spacing w:before="60" w:after="60"/>
              <w:rPr>
                <w:b/>
              </w:rPr>
            </w:pPr>
            <w:r>
              <w:rPr>
                <w:b/>
              </w:rPr>
              <w:t>Kohtunik</w:t>
            </w:r>
          </w:p>
        </w:tc>
        <w:tc>
          <w:tcPr>
            <w:tcW w:w="6273" w:type="dxa"/>
          </w:tcPr>
          <w:p w14:paraId="2295F47C" w14:textId="77777777" w:rsidR="002945A9" w:rsidRDefault="00891937" w:rsidP="00587ABA">
            <w:pPr>
              <w:spacing w:before="60" w:after="60"/>
            </w:pPr>
            <w:sdt>
              <w:sdtPr>
                <w:alias w:val="KohtukoosseisuEesistuja"/>
                <w:tag w:val="KohtukoosseisuEesistuja"/>
                <w:id w:val="326099586"/>
                <w:text/>
              </w:sdtPr>
              <w:sdtEndPr/>
              <w:sdtContent>
                <w:r w:rsidR="00AA3A6F">
                  <w:t>Ants Mailend</w:t>
                </w:r>
              </w:sdtContent>
            </w:sdt>
          </w:p>
        </w:tc>
      </w:tr>
      <w:tr w:rsidR="002945A9" w14:paraId="2295F481" w14:textId="77777777" w:rsidTr="00CF750A">
        <w:tc>
          <w:tcPr>
            <w:tcW w:w="3109" w:type="dxa"/>
          </w:tcPr>
          <w:p w14:paraId="2295F47E" w14:textId="77777777" w:rsidR="002945A9" w:rsidRDefault="002945A9" w:rsidP="006871CD">
            <w:pPr>
              <w:spacing w:before="60" w:after="60"/>
              <w:rPr>
                <w:b/>
              </w:rPr>
            </w:pPr>
            <w:r>
              <w:rPr>
                <w:b/>
              </w:rPr>
              <w:t>Otsuse tegemise aeg ja koht</w:t>
            </w:r>
          </w:p>
        </w:tc>
        <w:tc>
          <w:tcPr>
            <w:tcW w:w="6273" w:type="dxa"/>
          </w:tcPr>
          <w:p w14:paraId="2295F47F" w14:textId="36762240" w:rsidR="002945A9" w:rsidRDefault="00891937" w:rsidP="006871CD">
            <w:pPr>
              <w:spacing w:before="60" w:after="60"/>
            </w:pPr>
            <w:sdt>
              <w:sdtPr>
                <w:alias w:val="DokumendiKuupäev"/>
                <w:tag w:val="DokumendiKuupäev"/>
                <w:id w:val="1368417732"/>
                <w:date w:fullDate="2024-07-08T00:00:00Z">
                  <w:dateFormat w:val="dd.MM.yyyy"/>
                  <w:lid w:val="et-EE"/>
                  <w:storeMappedDataAs w:val="dateTime"/>
                  <w:calendar w:val="gregorian"/>
                </w:date>
              </w:sdtPr>
              <w:sdtEndPr/>
              <w:sdtContent>
                <w:r w:rsidR="00195CF3">
                  <w:t>08</w:t>
                </w:r>
                <w:r w:rsidR="00D11DAB">
                  <w:t>.</w:t>
                </w:r>
                <w:r w:rsidR="00195CF3">
                  <w:t>07</w:t>
                </w:r>
                <w:r w:rsidR="00D11DAB">
                  <w:t>.202</w:t>
                </w:r>
                <w:r w:rsidR="00195CF3">
                  <w:t>4</w:t>
                </w:r>
              </w:sdtContent>
            </w:sdt>
            <w:r w:rsidR="002945A9">
              <w:t xml:space="preserve">, </w:t>
            </w:r>
            <w:r w:rsidR="005778DD">
              <w:t>Tallinna</w:t>
            </w:r>
            <w:r w:rsidR="002945A9">
              <w:t xml:space="preserve"> kohtumaja</w:t>
            </w:r>
          </w:p>
          <w:p w14:paraId="2295F480" w14:textId="77777777" w:rsidR="002945A9" w:rsidRDefault="002945A9" w:rsidP="006871CD">
            <w:pPr>
              <w:spacing w:before="60" w:after="60"/>
            </w:pPr>
            <w:r>
              <w:t>kirjalik menetlus</w:t>
            </w:r>
          </w:p>
        </w:tc>
      </w:tr>
      <w:tr w:rsidR="00195CF3" w14:paraId="2295F484" w14:textId="77777777" w:rsidTr="00CF750A">
        <w:tc>
          <w:tcPr>
            <w:tcW w:w="3109" w:type="dxa"/>
          </w:tcPr>
          <w:p w14:paraId="2295F482" w14:textId="0095F225" w:rsidR="00195CF3" w:rsidRPr="00195CF3" w:rsidRDefault="00195CF3" w:rsidP="00195CF3">
            <w:pPr>
              <w:spacing w:before="60" w:after="60"/>
              <w:rPr>
                <w:b/>
                <w:bCs/>
              </w:rPr>
            </w:pPr>
            <w:r w:rsidRPr="00195CF3">
              <w:rPr>
                <w:b/>
                <w:bCs/>
              </w:rPr>
              <w:t>Tsiviilasja number</w:t>
            </w:r>
          </w:p>
        </w:tc>
        <w:tc>
          <w:tcPr>
            <w:tcW w:w="6273" w:type="dxa"/>
          </w:tcPr>
          <w:p w14:paraId="2295F483" w14:textId="5C4A1DFA" w:rsidR="00195CF3" w:rsidRDefault="00195CF3" w:rsidP="00195CF3">
            <w:r w:rsidRPr="00555DD2">
              <w:t>2-24-4947</w:t>
            </w:r>
          </w:p>
        </w:tc>
      </w:tr>
      <w:tr w:rsidR="00195CF3" w14:paraId="2295F487" w14:textId="77777777" w:rsidTr="004A4AC4">
        <w:trPr>
          <w:trHeight w:val="548"/>
        </w:trPr>
        <w:tc>
          <w:tcPr>
            <w:tcW w:w="3109" w:type="dxa"/>
          </w:tcPr>
          <w:p w14:paraId="2295F485" w14:textId="45138819" w:rsidR="00195CF3" w:rsidRPr="00195CF3" w:rsidRDefault="00195CF3" w:rsidP="00195CF3">
            <w:pPr>
              <w:spacing w:before="60" w:after="60"/>
              <w:rPr>
                <w:b/>
                <w:bCs/>
              </w:rPr>
            </w:pPr>
            <w:r w:rsidRPr="00195CF3">
              <w:rPr>
                <w:b/>
                <w:bCs/>
              </w:rPr>
              <w:t>Tsiviilasi</w:t>
            </w:r>
          </w:p>
        </w:tc>
        <w:tc>
          <w:tcPr>
            <w:tcW w:w="6273" w:type="dxa"/>
          </w:tcPr>
          <w:p w14:paraId="2295F486" w14:textId="08E693FE" w:rsidR="00195CF3" w:rsidRDefault="00195CF3" w:rsidP="00195CF3">
            <w:r w:rsidRPr="00555DD2">
              <w:t>Bayer Intellectual Property GmbH hagi KRKA, d.d., Novo mesto vastu patendi rikkumisest hoidumise nõudes</w:t>
            </w:r>
          </w:p>
        </w:tc>
      </w:tr>
      <w:tr w:rsidR="00195CF3" w14:paraId="2295F48A" w14:textId="77777777" w:rsidTr="004A4AC4">
        <w:trPr>
          <w:trHeight w:val="273"/>
        </w:trPr>
        <w:tc>
          <w:tcPr>
            <w:tcW w:w="3109" w:type="dxa"/>
          </w:tcPr>
          <w:p w14:paraId="6DF96FB9" w14:textId="78361C2C" w:rsidR="00195CF3" w:rsidRDefault="00195CF3" w:rsidP="00195CF3">
            <w:pPr>
              <w:spacing w:before="60" w:after="60"/>
              <w:rPr>
                <w:b/>
                <w:bCs/>
              </w:rPr>
            </w:pPr>
            <w:r>
              <w:rPr>
                <w:b/>
                <w:bCs/>
              </w:rPr>
              <w:t>Hagi hind</w:t>
            </w:r>
          </w:p>
          <w:p w14:paraId="2295F488" w14:textId="0A154B61" w:rsidR="00195CF3" w:rsidRPr="00195CF3" w:rsidRDefault="00195CF3" w:rsidP="00195CF3">
            <w:pPr>
              <w:spacing w:before="60" w:after="60"/>
              <w:rPr>
                <w:b/>
                <w:bCs/>
              </w:rPr>
            </w:pPr>
            <w:r w:rsidRPr="00195CF3">
              <w:rPr>
                <w:b/>
                <w:bCs/>
              </w:rPr>
              <w:t>Menetlusosalised</w:t>
            </w:r>
          </w:p>
        </w:tc>
        <w:tc>
          <w:tcPr>
            <w:tcW w:w="6273" w:type="dxa"/>
          </w:tcPr>
          <w:p w14:paraId="53939C33" w14:textId="2F9B83E9" w:rsidR="00195CF3" w:rsidRDefault="00195CF3" w:rsidP="00195CF3">
            <w:pPr>
              <w:spacing w:before="60" w:after="60"/>
            </w:pPr>
            <w:r>
              <w:t>7 454 000 eurot</w:t>
            </w:r>
          </w:p>
          <w:p w14:paraId="2295F489" w14:textId="1F283469" w:rsidR="00195CF3" w:rsidRDefault="00195CF3" w:rsidP="00195CF3">
            <w:pPr>
              <w:spacing w:before="60" w:after="60"/>
              <w:rPr>
                <w:noProof/>
                <w:color w:val="000000"/>
              </w:rPr>
            </w:pPr>
            <w:r w:rsidRPr="00555DD2">
              <w:t xml:space="preserve">Hageja: Bayer Intellectual Property GmbH, lepingulised esindajad vandeadvokaadid Mari Must ja Ants Nõmper </w:t>
            </w:r>
            <w:r>
              <w:t>ja vandeadvokaadi abi Kirti Jürimäe</w:t>
            </w:r>
          </w:p>
        </w:tc>
      </w:tr>
      <w:tr w:rsidR="004A4AC4" w14:paraId="2295F48F" w14:textId="77777777" w:rsidTr="00CF750A">
        <w:trPr>
          <w:trHeight w:val="1"/>
        </w:trPr>
        <w:tc>
          <w:tcPr>
            <w:tcW w:w="3109" w:type="dxa"/>
          </w:tcPr>
          <w:p w14:paraId="33940A4A" w14:textId="77777777" w:rsidR="00614B4D" w:rsidRDefault="00614B4D" w:rsidP="006871CD">
            <w:pPr>
              <w:spacing w:before="60" w:after="60"/>
              <w:jc w:val="left"/>
              <w:rPr>
                <w:b/>
              </w:rPr>
            </w:pPr>
          </w:p>
          <w:p w14:paraId="3CF3E49A" w14:textId="77777777" w:rsidR="00614B4D" w:rsidRDefault="00614B4D" w:rsidP="006871CD">
            <w:pPr>
              <w:spacing w:before="60" w:after="60"/>
              <w:jc w:val="left"/>
              <w:rPr>
                <w:b/>
              </w:rPr>
            </w:pPr>
          </w:p>
          <w:p w14:paraId="4025ED81" w14:textId="77777777" w:rsidR="00195CF3" w:rsidRDefault="00195CF3" w:rsidP="006871CD">
            <w:pPr>
              <w:spacing w:before="60" w:after="60"/>
              <w:jc w:val="left"/>
              <w:rPr>
                <w:b/>
              </w:rPr>
            </w:pPr>
          </w:p>
          <w:p w14:paraId="51130664" w14:textId="41464731" w:rsidR="00614B4D" w:rsidRDefault="00614B4D" w:rsidP="006871CD">
            <w:pPr>
              <w:spacing w:before="60" w:after="60"/>
              <w:jc w:val="left"/>
              <w:rPr>
                <w:b/>
              </w:rPr>
            </w:pPr>
            <w:r>
              <w:rPr>
                <w:b/>
              </w:rPr>
              <w:t>Õigeksvõtul põhinev otsus</w:t>
            </w:r>
          </w:p>
          <w:p w14:paraId="463D15AB" w14:textId="77777777" w:rsidR="00614B4D" w:rsidRDefault="00614B4D" w:rsidP="006871CD">
            <w:pPr>
              <w:spacing w:before="60" w:after="60"/>
              <w:jc w:val="left"/>
              <w:rPr>
                <w:b/>
              </w:rPr>
            </w:pPr>
          </w:p>
          <w:p w14:paraId="2295F48B" w14:textId="77777777" w:rsidR="00614B4D" w:rsidRDefault="00614B4D" w:rsidP="006871CD">
            <w:pPr>
              <w:spacing w:before="60" w:after="60"/>
              <w:jc w:val="left"/>
              <w:rPr>
                <w:b/>
              </w:rPr>
            </w:pPr>
          </w:p>
        </w:tc>
        <w:tc>
          <w:tcPr>
            <w:tcW w:w="6273" w:type="dxa"/>
          </w:tcPr>
          <w:p w14:paraId="2295F48D" w14:textId="1AF02E9C" w:rsidR="005D238F" w:rsidRDefault="00195CF3">
            <w:r w:rsidRPr="00F456BA">
              <w:rPr>
                <w:rStyle w:val="h1"/>
              </w:rPr>
              <w:t xml:space="preserve">Kostja: </w:t>
            </w:r>
            <w:r w:rsidRPr="00FB6916">
              <w:rPr>
                <w:rStyle w:val="h1"/>
              </w:rPr>
              <w:t>KRKA, d.d., Novo mesto</w:t>
            </w:r>
            <w:r>
              <w:rPr>
                <w:rStyle w:val="h1"/>
              </w:rPr>
              <w:t>, lepinguline esindaja vandeadvokaat Karmen Turk</w:t>
            </w:r>
          </w:p>
          <w:p w14:paraId="2295F48E" w14:textId="77777777" w:rsidR="004A4AC4" w:rsidRDefault="004A4AC4" w:rsidP="006871CD">
            <w:pPr>
              <w:spacing w:before="60" w:after="60"/>
              <w:rPr>
                <w:highlight w:val="yellow"/>
              </w:rPr>
            </w:pPr>
          </w:p>
        </w:tc>
      </w:tr>
    </w:tbl>
    <w:p w14:paraId="2295F490" w14:textId="77777777" w:rsidR="004A4AC4" w:rsidRDefault="004A4AC4" w:rsidP="004A4AC4">
      <w:pPr>
        <w:widowControl/>
        <w:overflowPunct/>
        <w:autoSpaceDE/>
        <w:adjustRightInd/>
        <w:spacing w:before="60" w:after="60"/>
        <w:rPr>
          <w:b/>
          <w:noProof/>
        </w:rPr>
      </w:pPr>
      <w:r>
        <w:rPr>
          <w:b/>
          <w:szCs w:val="24"/>
        </w:rPr>
        <w:t>RESOLUTSIOON</w:t>
      </w:r>
    </w:p>
    <w:p w14:paraId="219D666E" w14:textId="40B79B70" w:rsidR="007812CB" w:rsidRDefault="007812CB" w:rsidP="007812CB">
      <w:pPr>
        <w:pStyle w:val="Loendilik"/>
        <w:numPr>
          <w:ilvl w:val="0"/>
          <w:numId w:val="2"/>
        </w:numPr>
        <w:rPr>
          <w:b/>
          <w:noProof/>
        </w:rPr>
      </w:pPr>
      <w:r w:rsidRPr="00964F17">
        <w:rPr>
          <w:b/>
          <w:noProof/>
        </w:rPr>
        <w:t>Rahuldada hagi, kuna kostja võt</w:t>
      </w:r>
      <w:r w:rsidR="00195CF3">
        <w:rPr>
          <w:b/>
          <w:noProof/>
        </w:rPr>
        <w:t>tis</w:t>
      </w:r>
      <w:r w:rsidRPr="00964F17">
        <w:rPr>
          <w:b/>
          <w:noProof/>
        </w:rPr>
        <w:t xml:space="preserve"> selle õigeks.</w:t>
      </w:r>
    </w:p>
    <w:p w14:paraId="2AB2B26C" w14:textId="6FF06A75" w:rsidR="00DF0372" w:rsidRDefault="00EE34A4" w:rsidP="007812CB">
      <w:pPr>
        <w:pStyle w:val="Loendilik"/>
        <w:numPr>
          <w:ilvl w:val="0"/>
          <w:numId w:val="2"/>
        </w:numPr>
        <w:rPr>
          <w:b/>
          <w:noProof/>
        </w:rPr>
      </w:pPr>
      <w:r w:rsidRPr="00EE34A4">
        <w:rPr>
          <w:b/>
          <w:noProof/>
        </w:rPr>
        <w:t xml:space="preserve">Kohustada KRKA, d.d., Novo mesto-t hoiduma ravimi XERDOXO (tablett) tugevusega  10 mg, 15 mg ja 20 mg impordist Eestisse, selle valmistamisest, ladustamisest,  kasutamisest, levitamisest, müügiks pakkumisest, müümisest, turustamisest ja  reklaamimisest Eestis ise ning läbi kolmandate isikute kuni 19. jaanuar 2026.  </w:t>
      </w:r>
    </w:p>
    <w:p w14:paraId="6888C239" w14:textId="7CE9A7C8" w:rsidR="006C41F1" w:rsidRDefault="006C41F1" w:rsidP="007812CB">
      <w:pPr>
        <w:pStyle w:val="Loendilik"/>
        <w:numPr>
          <w:ilvl w:val="0"/>
          <w:numId w:val="2"/>
        </w:numPr>
        <w:rPr>
          <w:b/>
          <w:noProof/>
        </w:rPr>
      </w:pPr>
      <w:r>
        <w:rPr>
          <w:b/>
          <w:noProof/>
        </w:rPr>
        <w:t>Määrata menetluskulud kostja kanda.</w:t>
      </w:r>
    </w:p>
    <w:p w14:paraId="29DA73A6" w14:textId="3EB4D5DF" w:rsidR="00DE2BF9" w:rsidRPr="00003540" w:rsidRDefault="00DE2BF9" w:rsidP="00DE2BF9">
      <w:pPr>
        <w:pStyle w:val="Loendilik"/>
        <w:numPr>
          <w:ilvl w:val="0"/>
          <w:numId w:val="2"/>
        </w:numPr>
        <w:rPr>
          <w:b/>
          <w:noProof/>
        </w:rPr>
      </w:pPr>
      <w:r w:rsidRPr="00003540">
        <w:rPr>
          <w:b/>
          <w:noProof/>
        </w:rPr>
        <w:t xml:space="preserve">Mõista kostjalt hageja kasuks välja menetluskulude hüvitis </w:t>
      </w:r>
      <w:r w:rsidR="00003540" w:rsidRPr="00003540">
        <w:rPr>
          <w:b/>
          <w:szCs w:val="24"/>
        </w:rPr>
        <w:t>1</w:t>
      </w:r>
      <w:r w:rsidR="00891937">
        <w:rPr>
          <w:b/>
          <w:szCs w:val="24"/>
        </w:rPr>
        <w:t>7</w:t>
      </w:r>
      <w:r w:rsidR="00003540" w:rsidRPr="00003540">
        <w:rPr>
          <w:b/>
          <w:szCs w:val="24"/>
        </w:rPr>
        <w:t> </w:t>
      </w:r>
      <w:r w:rsidR="00891937">
        <w:rPr>
          <w:b/>
          <w:szCs w:val="24"/>
        </w:rPr>
        <w:t>6</w:t>
      </w:r>
      <w:r w:rsidR="00003540" w:rsidRPr="00003540">
        <w:rPr>
          <w:b/>
          <w:szCs w:val="24"/>
        </w:rPr>
        <w:t xml:space="preserve">75 </w:t>
      </w:r>
      <w:r w:rsidRPr="00003540">
        <w:rPr>
          <w:b/>
          <w:noProof/>
        </w:rPr>
        <w:t>eurot.</w:t>
      </w:r>
    </w:p>
    <w:p w14:paraId="3C937887" w14:textId="77777777" w:rsidR="00DE2BF9" w:rsidRDefault="00DE2BF9" w:rsidP="00DE2BF9">
      <w:pPr>
        <w:pStyle w:val="Loendilik"/>
        <w:numPr>
          <w:ilvl w:val="0"/>
          <w:numId w:val="2"/>
        </w:numPr>
        <w:rPr>
          <w:b/>
          <w:noProof/>
        </w:rPr>
      </w:pPr>
      <w:r w:rsidRPr="00DE2BF9">
        <w:rPr>
          <w:b/>
          <w:noProof/>
        </w:rPr>
        <w:t>Hüvitamisele kuuluvatelt menetluskuludelt tuleb kostjal tasuda viivist võlaõigusseaduse § 113 lg 1 teises lauses ettenähtud ulatuses alates kohtuotsuse jõustumisest kuni täitmiseni.</w:t>
      </w:r>
    </w:p>
    <w:p w14:paraId="276F071C" w14:textId="210F89EC" w:rsidR="007812CB" w:rsidRPr="00C95BCA" w:rsidRDefault="007812CB" w:rsidP="007812CB">
      <w:pPr>
        <w:pStyle w:val="Loendilik"/>
        <w:widowControl/>
        <w:numPr>
          <w:ilvl w:val="0"/>
          <w:numId w:val="2"/>
        </w:numPr>
        <w:overflowPunct/>
        <w:spacing w:before="0" w:after="0" w:line="276" w:lineRule="auto"/>
        <w:rPr>
          <w:b/>
          <w:bCs/>
          <w:color w:val="000000"/>
          <w:szCs w:val="24"/>
        </w:rPr>
      </w:pPr>
      <w:r w:rsidRPr="00C95BCA">
        <w:rPr>
          <w:b/>
          <w:bCs/>
          <w:color w:val="000000"/>
          <w:szCs w:val="24"/>
        </w:rPr>
        <w:lastRenderedPageBreak/>
        <w:t>Tunnistada otsus viivitamata  täidetavaks.</w:t>
      </w:r>
    </w:p>
    <w:p w14:paraId="37648C81" w14:textId="77777777" w:rsidR="007812CB" w:rsidRPr="00AA3A6F" w:rsidRDefault="007812CB" w:rsidP="00972E36">
      <w:pPr>
        <w:widowControl/>
        <w:overflowPunct/>
        <w:autoSpaceDE/>
        <w:adjustRightInd/>
        <w:spacing w:before="60" w:after="60"/>
        <w:ind w:left="720"/>
        <w:rPr>
          <w:noProof/>
        </w:rPr>
      </w:pPr>
    </w:p>
    <w:p w14:paraId="2295F499" w14:textId="77777777" w:rsidR="004A4AC4" w:rsidRDefault="004A4AC4" w:rsidP="004A4AC4">
      <w:pPr>
        <w:rPr>
          <w:b/>
          <w:noProof/>
        </w:rPr>
      </w:pPr>
    </w:p>
    <w:p w14:paraId="2295F49A" w14:textId="77777777" w:rsidR="004A4AC4" w:rsidRDefault="004A4AC4" w:rsidP="004A4AC4">
      <w:pPr>
        <w:rPr>
          <w:b/>
          <w:noProof/>
        </w:rPr>
      </w:pPr>
      <w:r w:rsidRPr="00C54D82">
        <w:rPr>
          <w:b/>
          <w:noProof/>
        </w:rPr>
        <w:t>Edasikaebamise kord</w:t>
      </w:r>
    </w:p>
    <w:p w14:paraId="57016B91" w14:textId="6593FFAC" w:rsidR="00323892" w:rsidRDefault="00323892" w:rsidP="00323892">
      <w:pPr>
        <w:rPr>
          <w:noProof/>
        </w:rPr>
      </w:pPr>
      <w:r>
        <w:rPr>
          <w:noProof/>
        </w:rPr>
        <w:t xml:space="preserve">Kohtuotsusele võib esitada apellatsioonkaebuse Tallinna Ringkonnakohtule 30 päeva jooksul, alates otsuse apellandile kättetoimetamisest, kuid mitte hiljem kui viie kuu möödumisel esimese astme kohtu otsuse avalikult teatavakstegemisest. </w:t>
      </w:r>
    </w:p>
    <w:p w14:paraId="2295F49B" w14:textId="5D1D57A9" w:rsidR="004A4AC4" w:rsidRDefault="004A4AC4" w:rsidP="00323892"/>
    <w:p w14:paraId="2295F49C" w14:textId="77777777" w:rsidR="004A4AC4" w:rsidRDefault="004A4AC4" w:rsidP="004A4AC4"/>
    <w:p w14:paraId="101C4778" w14:textId="69BD823E" w:rsidR="00C57925" w:rsidRPr="00025964" w:rsidRDefault="00C57925" w:rsidP="00C57925">
      <w:pPr>
        <w:rPr>
          <w:b/>
          <w:szCs w:val="24"/>
        </w:rPr>
      </w:pPr>
      <w:r w:rsidRPr="00025964">
        <w:rPr>
          <w:b/>
          <w:szCs w:val="24"/>
        </w:rPr>
        <w:t xml:space="preserve">Asjaolud </w:t>
      </w:r>
    </w:p>
    <w:p w14:paraId="6B76157B" w14:textId="7CF0A24C" w:rsidR="006B3027" w:rsidRDefault="0003089F" w:rsidP="0049084A">
      <w:pPr>
        <w:pStyle w:val="Loendilik"/>
        <w:numPr>
          <w:ilvl w:val="0"/>
          <w:numId w:val="5"/>
        </w:numPr>
        <w:rPr>
          <w:szCs w:val="24"/>
        </w:rPr>
      </w:pPr>
      <w:r w:rsidRPr="0003089F">
        <w:rPr>
          <w:szCs w:val="24"/>
        </w:rPr>
        <w:t>Bayer Intellectual Property GmbH (hageja, Bayer) esitas 26.03.2024 hagi  KRKA, d.d., Novo mesto (kostja, KRKA) vastu hoiduma ravimi XERDOXO (tablett) tugevusega  10 mg, 15 mg ja 20 mg impordist Eestisse, selle valmistamisest, ladustamisest,  kasutamisest, levitamisest, müügiks pakkumisest, müümisest, turustamisest ja  reklaamimisest Eestis ise ning läbi kolmandate isikute kuni 19.01.2026</w:t>
      </w:r>
      <w:r w:rsidR="006B3027">
        <w:rPr>
          <w:szCs w:val="24"/>
        </w:rPr>
        <w:t>.</w:t>
      </w:r>
      <w:r>
        <w:rPr>
          <w:szCs w:val="24"/>
        </w:rPr>
        <w:t xml:space="preserve"> Nimetatud ravimi käitlemine Eestis rikuks </w:t>
      </w:r>
      <w:r w:rsidRPr="0003089F">
        <w:rPr>
          <w:szCs w:val="24"/>
        </w:rPr>
        <w:t>Eestis jõustatud  Euroopa patendi</w:t>
      </w:r>
      <w:r>
        <w:rPr>
          <w:szCs w:val="24"/>
        </w:rPr>
        <w:t>st</w:t>
      </w:r>
      <w:r w:rsidRPr="0003089F">
        <w:rPr>
          <w:szCs w:val="24"/>
        </w:rPr>
        <w:t xml:space="preserve"> EP1845961</w:t>
      </w:r>
      <w:r>
        <w:rPr>
          <w:szCs w:val="24"/>
        </w:rPr>
        <w:t xml:space="preserve"> tulenevaid õigusi. Patent kehtib kuni 19.01.2026.</w:t>
      </w:r>
    </w:p>
    <w:p w14:paraId="2EB2B6F5" w14:textId="08609995" w:rsidR="0003089F" w:rsidRDefault="0003089F" w:rsidP="0003089F">
      <w:pPr>
        <w:pStyle w:val="Loendilik"/>
        <w:rPr>
          <w:szCs w:val="24"/>
        </w:rPr>
      </w:pPr>
    </w:p>
    <w:p w14:paraId="2318C595" w14:textId="47735B9B" w:rsidR="0003089F" w:rsidRDefault="0003089F" w:rsidP="0049084A">
      <w:pPr>
        <w:pStyle w:val="Loendilik"/>
        <w:numPr>
          <w:ilvl w:val="0"/>
          <w:numId w:val="5"/>
        </w:numPr>
        <w:rPr>
          <w:szCs w:val="24"/>
        </w:rPr>
      </w:pPr>
      <w:r>
        <w:rPr>
          <w:szCs w:val="24"/>
        </w:rPr>
        <w:t>08.04.2024 määrusega tagas kohus hagi ja keelas kostjal vaidlusaluse ravimi käitlemise Eestis kuni 19.01.2026 (dtl 1383). Kostja määruskaebus hagi tagamisele jäi rahuldamata (Tallinna Ringkonnakohtu 23.05.2024 määrus, dtl 1445).</w:t>
      </w:r>
    </w:p>
    <w:p w14:paraId="72AB5FFB" w14:textId="77777777" w:rsidR="0003089F" w:rsidRPr="0003089F" w:rsidRDefault="0003089F" w:rsidP="0003089F">
      <w:pPr>
        <w:pStyle w:val="Loendilik"/>
        <w:rPr>
          <w:szCs w:val="24"/>
        </w:rPr>
      </w:pPr>
    </w:p>
    <w:p w14:paraId="4E835712" w14:textId="323FB753" w:rsidR="003966DE" w:rsidRDefault="006B3027" w:rsidP="0049084A">
      <w:pPr>
        <w:pStyle w:val="Loendilik"/>
        <w:numPr>
          <w:ilvl w:val="0"/>
          <w:numId w:val="5"/>
        </w:numPr>
        <w:rPr>
          <w:szCs w:val="24"/>
        </w:rPr>
      </w:pPr>
      <w:r>
        <w:rPr>
          <w:szCs w:val="24"/>
        </w:rPr>
        <w:t>Kostja võt</w:t>
      </w:r>
      <w:r w:rsidR="0091301C">
        <w:rPr>
          <w:szCs w:val="24"/>
        </w:rPr>
        <w:t xml:space="preserve">tis </w:t>
      </w:r>
      <w:r>
        <w:rPr>
          <w:szCs w:val="24"/>
        </w:rPr>
        <w:t xml:space="preserve">hagi </w:t>
      </w:r>
      <w:r w:rsidR="0091301C">
        <w:rPr>
          <w:szCs w:val="24"/>
        </w:rPr>
        <w:t xml:space="preserve">30.05.2024 avaldusega </w:t>
      </w:r>
      <w:r>
        <w:rPr>
          <w:szCs w:val="24"/>
        </w:rPr>
        <w:t xml:space="preserve">õigeks (dtl </w:t>
      </w:r>
      <w:r w:rsidR="0091301C">
        <w:rPr>
          <w:szCs w:val="24"/>
        </w:rPr>
        <w:t>1428</w:t>
      </w:r>
      <w:r>
        <w:rPr>
          <w:szCs w:val="24"/>
        </w:rPr>
        <w:t xml:space="preserve">). </w:t>
      </w:r>
      <w:r w:rsidR="00E515F3">
        <w:rPr>
          <w:szCs w:val="24"/>
        </w:rPr>
        <w:t xml:space="preserve">Kostja leidis, et pole andnud põhjust hagi esitamiseks ja palus </w:t>
      </w:r>
      <w:r w:rsidR="00C2279A">
        <w:rPr>
          <w:szCs w:val="24"/>
        </w:rPr>
        <w:t xml:space="preserve">määrata </w:t>
      </w:r>
      <w:r w:rsidR="00E515F3">
        <w:rPr>
          <w:szCs w:val="24"/>
        </w:rPr>
        <w:t>menetluskulud</w:t>
      </w:r>
      <w:r w:rsidR="00C2279A">
        <w:rPr>
          <w:szCs w:val="24"/>
        </w:rPr>
        <w:t xml:space="preserve"> hageja kanda või, alternatiivselt, poolte endi kanda.</w:t>
      </w:r>
      <w:r w:rsidR="00E515F3">
        <w:rPr>
          <w:szCs w:val="24"/>
        </w:rPr>
        <w:t xml:space="preserve"> </w:t>
      </w:r>
      <w:r>
        <w:rPr>
          <w:szCs w:val="24"/>
        </w:rPr>
        <w:t xml:space="preserve"> </w:t>
      </w:r>
    </w:p>
    <w:p w14:paraId="721C6A83" w14:textId="77777777" w:rsidR="006B3027" w:rsidRPr="006B3027" w:rsidRDefault="006B3027" w:rsidP="006B3027">
      <w:pPr>
        <w:pStyle w:val="Loendilik"/>
        <w:rPr>
          <w:szCs w:val="24"/>
        </w:rPr>
      </w:pPr>
    </w:p>
    <w:p w14:paraId="1E4FAFEA" w14:textId="636C32F5" w:rsidR="006B3027" w:rsidRDefault="00C2279A" w:rsidP="0049084A">
      <w:pPr>
        <w:pStyle w:val="Loendilik"/>
        <w:numPr>
          <w:ilvl w:val="0"/>
          <w:numId w:val="5"/>
        </w:numPr>
        <w:rPr>
          <w:szCs w:val="24"/>
        </w:rPr>
      </w:pPr>
      <w:r>
        <w:rPr>
          <w:szCs w:val="24"/>
        </w:rPr>
        <w:t>Hageja palus menetluskulude määramist kostja kanda ja nende hüvitise väljamõistmist</w:t>
      </w:r>
      <w:r w:rsidR="006B3027">
        <w:rPr>
          <w:szCs w:val="24"/>
        </w:rPr>
        <w:t xml:space="preserve"> (</w:t>
      </w:r>
      <w:r w:rsidR="00DE3E32">
        <w:rPr>
          <w:szCs w:val="24"/>
        </w:rPr>
        <w:t xml:space="preserve">dtl </w:t>
      </w:r>
      <w:r>
        <w:rPr>
          <w:szCs w:val="24"/>
        </w:rPr>
        <w:t xml:space="preserve">1450 ja </w:t>
      </w:r>
      <w:r w:rsidR="0082028A">
        <w:rPr>
          <w:szCs w:val="24"/>
        </w:rPr>
        <w:t>1482</w:t>
      </w:r>
      <w:r w:rsidR="00DE3E32">
        <w:rPr>
          <w:szCs w:val="24"/>
        </w:rPr>
        <w:t>).</w:t>
      </w:r>
    </w:p>
    <w:p w14:paraId="3BD27529" w14:textId="48515469" w:rsidR="00AE6EB1" w:rsidRPr="000A4D8F" w:rsidRDefault="00AE6EB1" w:rsidP="008D4CB8">
      <w:pPr>
        <w:pStyle w:val="Loendilik"/>
        <w:rPr>
          <w:szCs w:val="24"/>
        </w:rPr>
      </w:pPr>
    </w:p>
    <w:p w14:paraId="5201FD29" w14:textId="77777777" w:rsidR="00C22FE8" w:rsidRPr="009D2CCA" w:rsidRDefault="00C22FE8" w:rsidP="00991759">
      <w:pPr>
        <w:rPr>
          <w:szCs w:val="24"/>
        </w:rPr>
      </w:pPr>
    </w:p>
    <w:p w14:paraId="32DD9C44" w14:textId="50F48350" w:rsidR="001E61A5" w:rsidRPr="009D2CCA" w:rsidRDefault="001E61A5" w:rsidP="00991759">
      <w:pPr>
        <w:rPr>
          <w:b/>
          <w:szCs w:val="24"/>
        </w:rPr>
      </w:pPr>
      <w:r w:rsidRPr="009D2CCA">
        <w:rPr>
          <w:b/>
          <w:szCs w:val="24"/>
        </w:rPr>
        <w:t>Põhjendused</w:t>
      </w:r>
    </w:p>
    <w:p w14:paraId="7AF8588D" w14:textId="2B036A5D" w:rsidR="00FD75FE" w:rsidRPr="009D2CCA" w:rsidRDefault="001E61A5" w:rsidP="000A4D8F">
      <w:pPr>
        <w:pStyle w:val="Loendilik"/>
        <w:widowControl/>
        <w:numPr>
          <w:ilvl w:val="0"/>
          <w:numId w:val="5"/>
        </w:numPr>
        <w:overflowPunct/>
        <w:autoSpaceDE/>
        <w:autoSpaceDN/>
        <w:adjustRightInd/>
        <w:spacing w:before="0" w:after="160" w:line="259" w:lineRule="auto"/>
        <w:rPr>
          <w:szCs w:val="24"/>
        </w:rPr>
      </w:pPr>
      <w:r w:rsidRPr="009D2CCA">
        <w:rPr>
          <w:szCs w:val="24"/>
        </w:rPr>
        <w:t>Kostja võt</w:t>
      </w:r>
      <w:r w:rsidR="001F3F19">
        <w:rPr>
          <w:szCs w:val="24"/>
        </w:rPr>
        <w:t>tis</w:t>
      </w:r>
      <w:r w:rsidRPr="009D2CCA">
        <w:rPr>
          <w:szCs w:val="24"/>
        </w:rPr>
        <w:t xml:space="preserve"> hagi õigeks. Hagi õigeksvõtmisel tuleb hagi rahuldada (tsiviilkohtumenetluse seadustiku TsMS § 440 lg 1</w:t>
      </w:r>
      <w:r w:rsidR="00441FFA" w:rsidRPr="009D2CCA">
        <w:rPr>
          <w:szCs w:val="24"/>
        </w:rPr>
        <w:t>)</w:t>
      </w:r>
      <w:r w:rsidRPr="009D2CCA">
        <w:rPr>
          <w:szCs w:val="24"/>
        </w:rPr>
        <w:t xml:space="preserve">. Kohus rahuldab seega hagi. </w:t>
      </w:r>
      <w:r w:rsidR="001F3F19">
        <w:rPr>
          <w:szCs w:val="24"/>
        </w:rPr>
        <w:t>Juhindudes TsMS § 444 lg 3 kohus hagi rahuldamist täiendavalt ei põhjenda ja käsitleb alljärgnevalt ainult menetluskulude jaotamist ja kindlaksmääramist.</w:t>
      </w:r>
    </w:p>
    <w:p w14:paraId="11B24690" w14:textId="77777777" w:rsidR="00FD75FE" w:rsidRPr="009D2CCA" w:rsidRDefault="00FD75FE" w:rsidP="00FD75FE">
      <w:pPr>
        <w:pStyle w:val="Loendilik"/>
        <w:widowControl/>
        <w:overflowPunct/>
        <w:autoSpaceDE/>
        <w:autoSpaceDN/>
        <w:adjustRightInd/>
        <w:spacing w:before="0" w:after="160" w:line="259" w:lineRule="auto"/>
        <w:rPr>
          <w:szCs w:val="24"/>
        </w:rPr>
      </w:pPr>
    </w:p>
    <w:p w14:paraId="3AFCE53D" w14:textId="77777777" w:rsidR="003B6234" w:rsidRDefault="00AB2A69" w:rsidP="003B6234">
      <w:pPr>
        <w:pStyle w:val="Loendilik"/>
        <w:widowControl/>
        <w:numPr>
          <w:ilvl w:val="0"/>
          <w:numId w:val="5"/>
        </w:numPr>
        <w:overflowPunct/>
        <w:autoSpaceDE/>
        <w:autoSpaceDN/>
        <w:adjustRightInd/>
        <w:spacing w:before="0" w:after="160" w:line="259" w:lineRule="auto"/>
        <w:rPr>
          <w:szCs w:val="24"/>
        </w:rPr>
      </w:pPr>
      <w:r>
        <w:rPr>
          <w:szCs w:val="24"/>
        </w:rPr>
        <w:t xml:space="preserve">Kohus ei nõustu kostja seisukohaga, et ta ei ole oma käitumisega andnud põhjust hagi esitamiseks. </w:t>
      </w:r>
    </w:p>
    <w:p w14:paraId="12F32410" w14:textId="77777777" w:rsidR="003B6234" w:rsidRPr="003B6234" w:rsidRDefault="003B6234" w:rsidP="003B6234">
      <w:pPr>
        <w:pStyle w:val="Loendilik"/>
        <w:rPr>
          <w:szCs w:val="24"/>
        </w:rPr>
      </w:pPr>
    </w:p>
    <w:p w14:paraId="0B30A959" w14:textId="4C282414" w:rsidR="00AB2A69" w:rsidRPr="003B6234" w:rsidRDefault="001429C6" w:rsidP="003B6234">
      <w:pPr>
        <w:pStyle w:val="Loendilik"/>
        <w:widowControl/>
        <w:numPr>
          <w:ilvl w:val="0"/>
          <w:numId w:val="5"/>
        </w:numPr>
        <w:overflowPunct/>
        <w:autoSpaceDE/>
        <w:autoSpaceDN/>
        <w:adjustRightInd/>
        <w:spacing w:before="0" w:after="160" w:line="259" w:lineRule="auto"/>
        <w:rPr>
          <w:szCs w:val="24"/>
        </w:rPr>
      </w:pPr>
      <w:r w:rsidRPr="003B6234">
        <w:rPr>
          <w:szCs w:val="24"/>
        </w:rPr>
        <w:t xml:space="preserve">Kostja 20.02.2024 avaldus patenti rikkuvast tegevusest hoidumiseks (vaidlusaluse ravimi käitlemisest Eestis) ei olnud kategooriline (dtl 517). </w:t>
      </w:r>
    </w:p>
    <w:p w14:paraId="43FD9434" w14:textId="77777777" w:rsidR="001429C6" w:rsidRDefault="001429C6" w:rsidP="00AB2A69">
      <w:pPr>
        <w:pStyle w:val="Loendilik"/>
        <w:widowControl/>
        <w:overflowPunct/>
        <w:autoSpaceDE/>
        <w:autoSpaceDN/>
        <w:adjustRightInd/>
        <w:spacing w:before="0" w:after="160" w:line="259" w:lineRule="auto"/>
        <w:rPr>
          <w:szCs w:val="24"/>
        </w:rPr>
      </w:pPr>
    </w:p>
    <w:p w14:paraId="062E31C8" w14:textId="0E9664C0" w:rsidR="001429C6" w:rsidRDefault="001429C6" w:rsidP="00AB2A69">
      <w:pPr>
        <w:pStyle w:val="Loendilik"/>
        <w:widowControl/>
        <w:overflowPunct/>
        <w:autoSpaceDE/>
        <w:autoSpaceDN/>
        <w:adjustRightInd/>
        <w:spacing w:before="0" w:after="160" w:line="259" w:lineRule="auto"/>
        <w:rPr>
          <w:szCs w:val="24"/>
        </w:rPr>
      </w:pPr>
      <w:r>
        <w:rPr>
          <w:szCs w:val="24"/>
        </w:rPr>
        <w:t>K</w:t>
      </w:r>
      <w:r w:rsidRPr="001429C6">
        <w:rPr>
          <w:szCs w:val="24"/>
        </w:rPr>
        <w:t xml:space="preserve">ostja </w:t>
      </w:r>
      <w:r>
        <w:rPr>
          <w:szCs w:val="24"/>
        </w:rPr>
        <w:t xml:space="preserve">tegi </w:t>
      </w:r>
      <w:r w:rsidRPr="001429C6">
        <w:rPr>
          <w:szCs w:val="24"/>
        </w:rPr>
        <w:t>kõik tavapärased toimingud  ravimi</w:t>
      </w:r>
      <w:r>
        <w:rPr>
          <w:szCs w:val="24"/>
        </w:rPr>
        <w:t xml:space="preserve">ga </w:t>
      </w:r>
      <w:r w:rsidRPr="001429C6">
        <w:rPr>
          <w:szCs w:val="24"/>
        </w:rPr>
        <w:t>turule tulemiseks</w:t>
      </w:r>
      <w:r>
        <w:rPr>
          <w:szCs w:val="24"/>
        </w:rPr>
        <w:t xml:space="preserve">. </w:t>
      </w:r>
      <w:r w:rsidRPr="001429C6">
        <w:rPr>
          <w:szCs w:val="24"/>
        </w:rPr>
        <w:t>Kostja taotles ravimile XERDOXO müügil</w:t>
      </w:r>
      <w:r>
        <w:rPr>
          <w:szCs w:val="24"/>
        </w:rPr>
        <w:t>oa enne hagi esitamist (dtl 425)</w:t>
      </w:r>
      <w:r w:rsidRPr="001429C6">
        <w:rPr>
          <w:szCs w:val="24"/>
        </w:rPr>
        <w:t xml:space="preserve">.  Kostja esitas 19.01.2024 Tervisekassale taotluse ravimi XERDOXO (tablett) lisamiseks  soodusravimite loetellu </w:t>
      </w:r>
      <w:r w:rsidRPr="001429C6">
        <w:rPr>
          <w:szCs w:val="24"/>
        </w:rPr>
        <w:lastRenderedPageBreak/>
        <w:t>(</w:t>
      </w:r>
      <w:r>
        <w:rPr>
          <w:szCs w:val="24"/>
        </w:rPr>
        <w:t xml:space="preserve">dtl 502). Ravim lisati kostja taotlusel </w:t>
      </w:r>
      <w:r w:rsidRPr="001429C6">
        <w:rPr>
          <w:szCs w:val="24"/>
        </w:rPr>
        <w:t>01.04.2024 jõustunud soodusravimite nimekirja (</w:t>
      </w:r>
      <w:r>
        <w:rPr>
          <w:szCs w:val="24"/>
        </w:rPr>
        <w:t>dtl 506</w:t>
      </w:r>
      <w:r w:rsidRPr="001429C6">
        <w:rPr>
          <w:szCs w:val="24"/>
        </w:rPr>
        <w:t xml:space="preserve">).  Kostja sõlmis Tervisekassaga </w:t>
      </w:r>
      <w:r>
        <w:rPr>
          <w:szCs w:val="24"/>
        </w:rPr>
        <w:t xml:space="preserve">08.03.2024 </w:t>
      </w:r>
      <w:r w:rsidRPr="001429C6">
        <w:rPr>
          <w:szCs w:val="24"/>
        </w:rPr>
        <w:t>hinnakokkuleppe</w:t>
      </w:r>
      <w:r>
        <w:rPr>
          <w:szCs w:val="24"/>
        </w:rPr>
        <w:t xml:space="preserve"> (</w:t>
      </w:r>
      <w:r w:rsidR="00C52A64">
        <w:rPr>
          <w:szCs w:val="24"/>
        </w:rPr>
        <w:t>dtl 510)</w:t>
      </w:r>
      <w:r w:rsidRPr="001429C6">
        <w:rPr>
          <w:szCs w:val="24"/>
        </w:rPr>
        <w:t>.</w:t>
      </w:r>
    </w:p>
    <w:p w14:paraId="2B0C0A0A" w14:textId="77777777" w:rsidR="003B6234" w:rsidRDefault="003B6234" w:rsidP="00AB2A69">
      <w:pPr>
        <w:pStyle w:val="Loendilik"/>
        <w:widowControl/>
        <w:overflowPunct/>
        <w:autoSpaceDE/>
        <w:autoSpaceDN/>
        <w:adjustRightInd/>
        <w:spacing w:before="0" w:after="160" w:line="259" w:lineRule="auto"/>
        <w:rPr>
          <w:szCs w:val="24"/>
        </w:rPr>
      </w:pPr>
    </w:p>
    <w:p w14:paraId="357923C7" w14:textId="77777777" w:rsidR="003B6234" w:rsidRDefault="003B6234" w:rsidP="00AB2A69">
      <w:pPr>
        <w:pStyle w:val="Loendilik"/>
        <w:widowControl/>
        <w:overflowPunct/>
        <w:autoSpaceDE/>
        <w:autoSpaceDN/>
        <w:adjustRightInd/>
        <w:spacing w:before="0" w:after="160" w:line="259" w:lineRule="auto"/>
        <w:rPr>
          <w:szCs w:val="24"/>
        </w:rPr>
      </w:pPr>
      <w:r>
        <w:rPr>
          <w:szCs w:val="24"/>
        </w:rPr>
        <w:t>Selles olukorras oli hagejal põhjust arvata, et kostja kavatseb hakata oma ravimist Eestis turustama juba enne hageja patendi kehtivuse lõppemist 19.01.2026. Ei saa seega väita, et kostja ei andnud oma käitumisega põhjust hagi esitamiseks.</w:t>
      </w:r>
    </w:p>
    <w:p w14:paraId="690D5CBA" w14:textId="77777777" w:rsidR="003B6234" w:rsidRDefault="003B6234" w:rsidP="00AB2A69">
      <w:pPr>
        <w:pStyle w:val="Loendilik"/>
        <w:widowControl/>
        <w:overflowPunct/>
        <w:autoSpaceDE/>
        <w:autoSpaceDN/>
        <w:adjustRightInd/>
        <w:spacing w:before="0" w:after="160" w:line="259" w:lineRule="auto"/>
        <w:rPr>
          <w:szCs w:val="24"/>
        </w:rPr>
      </w:pPr>
    </w:p>
    <w:p w14:paraId="6BF8F468" w14:textId="77777777" w:rsidR="003B6234" w:rsidRDefault="003B6234" w:rsidP="003B6234">
      <w:pPr>
        <w:pStyle w:val="Loendilik"/>
        <w:widowControl/>
        <w:numPr>
          <w:ilvl w:val="0"/>
          <w:numId w:val="5"/>
        </w:numPr>
        <w:overflowPunct/>
        <w:autoSpaceDE/>
        <w:autoSpaceDN/>
        <w:adjustRightInd/>
        <w:spacing w:before="0" w:after="160" w:line="259" w:lineRule="auto"/>
        <w:rPr>
          <w:szCs w:val="24"/>
        </w:rPr>
      </w:pPr>
      <w:r w:rsidRPr="003B6234">
        <w:rPr>
          <w:szCs w:val="24"/>
        </w:rPr>
        <w:t>Kostja esitas ravimi turustamist keelavale hagi tagamise määrusele 22.04.2024 määruskaebuse (dtl 1392).</w:t>
      </w:r>
      <w:r>
        <w:rPr>
          <w:szCs w:val="24"/>
        </w:rPr>
        <w:t xml:space="preserve"> Hagi tagamise korras keelati turustamine kuni vaidlusaluse patendi kehtivuse lõppemiseni 19.01.2026 (dtl 1383). Kui kostjal poleks tegelikult olnud kavatsust asuda oma ravimist Eestis turustama varem, puudunuks sisuline vajadus hagi tagamise vaidlustamiseks.</w:t>
      </w:r>
    </w:p>
    <w:p w14:paraId="5DD5EEB1" w14:textId="7332F4DC" w:rsidR="003B6234" w:rsidRDefault="003B6234" w:rsidP="003B6234">
      <w:pPr>
        <w:pStyle w:val="Loendilik"/>
        <w:widowControl/>
        <w:overflowPunct/>
        <w:autoSpaceDE/>
        <w:autoSpaceDN/>
        <w:adjustRightInd/>
        <w:spacing w:before="0" w:after="160" w:line="259" w:lineRule="auto"/>
        <w:rPr>
          <w:szCs w:val="24"/>
        </w:rPr>
      </w:pPr>
    </w:p>
    <w:p w14:paraId="0680FCDD" w14:textId="03086ECF" w:rsidR="003B6234" w:rsidRDefault="005B7515" w:rsidP="003B6234">
      <w:pPr>
        <w:pStyle w:val="Loendilik"/>
        <w:widowControl/>
        <w:numPr>
          <w:ilvl w:val="0"/>
          <w:numId w:val="5"/>
        </w:numPr>
        <w:overflowPunct/>
        <w:autoSpaceDE/>
        <w:autoSpaceDN/>
        <w:adjustRightInd/>
        <w:spacing w:before="0" w:after="160" w:line="259" w:lineRule="auto"/>
        <w:rPr>
          <w:szCs w:val="24"/>
        </w:rPr>
      </w:pPr>
      <w:r>
        <w:rPr>
          <w:szCs w:val="24"/>
        </w:rPr>
        <w:t xml:space="preserve">Kostja ei võtnud hagi õigeks kohe. Hagi toimetati kostjale kätte </w:t>
      </w:r>
      <w:r w:rsidR="003B6234">
        <w:rPr>
          <w:szCs w:val="24"/>
        </w:rPr>
        <w:t xml:space="preserve"> </w:t>
      </w:r>
      <w:r>
        <w:rPr>
          <w:szCs w:val="24"/>
        </w:rPr>
        <w:t xml:space="preserve">27.03.2024 (dtl 1376. Vaata selle kohta ka ringkonnakohtu 23.05.2024 määruse p 2 ja 11). </w:t>
      </w:r>
      <w:r w:rsidR="004B4F15">
        <w:rPr>
          <w:szCs w:val="24"/>
        </w:rPr>
        <w:t>Õigeksvõtuavalduse tegi kostja alles 30.05.2024.</w:t>
      </w:r>
    </w:p>
    <w:p w14:paraId="6FB9851F" w14:textId="77777777" w:rsidR="004B4F15" w:rsidRPr="004B4F15" w:rsidRDefault="004B4F15" w:rsidP="004B4F15">
      <w:pPr>
        <w:pStyle w:val="Loendilik"/>
        <w:rPr>
          <w:szCs w:val="24"/>
        </w:rPr>
      </w:pPr>
    </w:p>
    <w:p w14:paraId="23863C06" w14:textId="3E907CBC" w:rsidR="004B4F15" w:rsidRDefault="004B4F15" w:rsidP="003B6234">
      <w:pPr>
        <w:pStyle w:val="Loendilik"/>
        <w:widowControl/>
        <w:numPr>
          <w:ilvl w:val="0"/>
          <w:numId w:val="5"/>
        </w:numPr>
        <w:overflowPunct/>
        <w:autoSpaceDE/>
        <w:autoSpaceDN/>
        <w:adjustRightInd/>
        <w:spacing w:before="0" w:after="160" w:line="259" w:lineRule="auto"/>
        <w:rPr>
          <w:szCs w:val="24"/>
        </w:rPr>
      </w:pPr>
      <w:r>
        <w:rPr>
          <w:szCs w:val="24"/>
        </w:rPr>
        <w:t xml:space="preserve">Kokkuvõttes on kohus seisukohal, et käesolevas asjas ei esine TsMS § 168 </w:t>
      </w:r>
      <w:r w:rsidR="00B050B8">
        <w:rPr>
          <w:szCs w:val="24"/>
        </w:rPr>
        <w:t>lg-s 6 sätestatud erandolukorda. TsMS § 162 lg 1 üldreegli alusel määrab kohus menetluskulud kostja kanda.</w:t>
      </w:r>
    </w:p>
    <w:p w14:paraId="3FD507C1" w14:textId="77777777" w:rsidR="001F3F19" w:rsidRPr="001F3F19" w:rsidRDefault="001F3F19" w:rsidP="001F3F19">
      <w:pPr>
        <w:pStyle w:val="Loendilik"/>
        <w:rPr>
          <w:szCs w:val="24"/>
        </w:rPr>
      </w:pPr>
    </w:p>
    <w:p w14:paraId="3E8A0FA9" w14:textId="4D000F00" w:rsidR="0082028A" w:rsidRDefault="00FD75FE" w:rsidP="000A4D8F">
      <w:pPr>
        <w:pStyle w:val="Loendilik"/>
        <w:numPr>
          <w:ilvl w:val="0"/>
          <w:numId w:val="5"/>
        </w:numPr>
        <w:rPr>
          <w:szCs w:val="24"/>
        </w:rPr>
      </w:pPr>
      <w:r w:rsidRPr="009D2CCA">
        <w:rPr>
          <w:szCs w:val="24"/>
        </w:rPr>
        <w:t xml:space="preserve">Hageja </w:t>
      </w:r>
      <w:r w:rsidR="00B13809">
        <w:rPr>
          <w:szCs w:val="24"/>
        </w:rPr>
        <w:t xml:space="preserve">menetluskuludeks </w:t>
      </w:r>
      <w:r w:rsidRPr="009D2CCA">
        <w:rPr>
          <w:szCs w:val="24"/>
        </w:rPr>
        <w:t xml:space="preserve">on </w:t>
      </w:r>
      <w:r w:rsidR="003B503B" w:rsidRPr="009D2CCA">
        <w:rPr>
          <w:szCs w:val="24"/>
        </w:rPr>
        <w:t>riigilõiv</w:t>
      </w:r>
      <w:r w:rsidR="0082028A">
        <w:rPr>
          <w:szCs w:val="24"/>
        </w:rPr>
        <w:t>ud</w:t>
      </w:r>
      <w:r w:rsidR="00B13809">
        <w:rPr>
          <w:szCs w:val="24"/>
        </w:rPr>
        <w:t xml:space="preserve"> </w:t>
      </w:r>
      <w:r w:rsidR="0082028A">
        <w:rPr>
          <w:szCs w:val="24"/>
        </w:rPr>
        <w:t>5070</w:t>
      </w:r>
      <w:r w:rsidR="00B13809">
        <w:rPr>
          <w:szCs w:val="24"/>
        </w:rPr>
        <w:t xml:space="preserve"> eurot</w:t>
      </w:r>
      <w:r w:rsidR="0082028A">
        <w:rPr>
          <w:szCs w:val="24"/>
        </w:rPr>
        <w:t>, tõendite hankimise kulud 580 eurot</w:t>
      </w:r>
      <w:r w:rsidR="00FD6141">
        <w:rPr>
          <w:szCs w:val="24"/>
        </w:rPr>
        <w:t>,</w:t>
      </w:r>
      <w:r w:rsidR="0082028A">
        <w:rPr>
          <w:szCs w:val="24"/>
        </w:rPr>
        <w:t xml:space="preserve"> tõlkekulud 175 eurot ja </w:t>
      </w:r>
      <w:r w:rsidR="00B13809">
        <w:rPr>
          <w:szCs w:val="24"/>
        </w:rPr>
        <w:t xml:space="preserve">kulutused õigusabile summas </w:t>
      </w:r>
      <w:r w:rsidR="0082028A">
        <w:rPr>
          <w:szCs w:val="24"/>
        </w:rPr>
        <w:t>21 593</w:t>
      </w:r>
      <w:r w:rsidR="00B13809">
        <w:rPr>
          <w:szCs w:val="24"/>
        </w:rPr>
        <w:t xml:space="preserve"> eurot arvestatuna 7</w:t>
      </w:r>
      <w:r w:rsidR="0082028A">
        <w:rPr>
          <w:szCs w:val="24"/>
        </w:rPr>
        <w:t>7,8</w:t>
      </w:r>
      <w:r w:rsidR="00B13809">
        <w:rPr>
          <w:szCs w:val="24"/>
        </w:rPr>
        <w:t xml:space="preserve"> töötunni eest tunnitasumääraga </w:t>
      </w:r>
      <w:r w:rsidR="0082028A">
        <w:rPr>
          <w:szCs w:val="24"/>
        </w:rPr>
        <w:t>240-350</w:t>
      </w:r>
      <w:r w:rsidR="00B13809">
        <w:rPr>
          <w:szCs w:val="24"/>
        </w:rPr>
        <w:t xml:space="preserve"> eurot (käibemaksu</w:t>
      </w:r>
      <w:r w:rsidR="0082028A">
        <w:rPr>
          <w:szCs w:val="24"/>
        </w:rPr>
        <w:t>ta</w:t>
      </w:r>
      <w:r w:rsidR="00B13809">
        <w:rPr>
          <w:szCs w:val="24"/>
        </w:rPr>
        <w:t xml:space="preserve">, dtl </w:t>
      </w:r>
      <w:r w:rsidR="0082028A">
        <w:rPr>
          <w:szCs w:val="24"/>
        </w:rPr>
        <w:t>1482</w:t>
      </w:r>
      <w:r w:rsidR="00B13809">
        <w:rPr>
          <w:szCs w:val="24"/>
        </w:rPr>
        <w:t xml:space="preserve">). </w:t>
      </w:r>
      <w:r w:rsidR="0082028A">
        <w:rPr>
          <w:szCs w:val="24"/>
        </w:rPr>
        <w:t>Kohtu hinnangul on õigusabikulu alljärgnevalt selgitatud ulatuses ülemäärane, muus osas puudub kohtul alus kahelda hageja poolt kulude vajalikkuse kohta antud kinnituse õigsuses.</w:t>
      </w:r>
    </w:p>
    <w:p w14:paraId="5187A5DA" w14:textId="77777777" w:rsidR="0082028A" w:rsidRPr="0082028A" w:rsidRDefault="0082028A" w:rsidP="0082028A">
      <w:pPr>
        <w:pStyle w:val="Loendilik"/>
        <w:rPr>
          <w:szCs w:val="24"/>
        </w:rPr>
      </w:pPr>
    </w:p>
    <w:p w14:paraId="5D6507C2" w14:textId="4E2CBBDD" w:rsidR="00896979" w:rsidRDefault="00896979" w:rsidP="000A4D8F">
      <w:pPr>
        <w:pStyle w:val="Loendilik"/>
        <w:numPr>
          <w:ilvl w:val="0"/>
          <w:numId w:val="5"/>
        </w:numPr>
        <w:rPr>
          <w:szCs w:val="24"/>
        </w:rPr>
      </w:pPr>
      <w:r>
        <w:rPr>
          <w:szCs w:val="24"/>
        </w:rPr>
        <w:t>Õigusabi osutamises on advokaatide kõrval osalenud olulises ajamahus Regina Gettter Maajärv</w:t>
      </w:r>
      <w:r w:rsidR="00D42059">
        <w:rPr>
          <w:szCs w:val="24"/>
        </w:rPr>
        <w:t>, kes pole advokaat</w:t>
      </w:r>
      <w:r>
        <w:rPr>
          <w:szCs w:val="24"/>
        </w:rPr>
        <w:t>. Seda asjaolu ning hagi alust ja menetlusosaliste isikuid arvestades peab kohus põhjendatud tunnitasumääraks summat 250 eurot (käibemaksuta). Kohus määrab menetluskulude hüvitise sellest tasumäärast lähtudes.</w:t>
      </w:r>
    </w:p>
    <w:p w14:paraId="4A8CBD7E" w14:textId="77777777" w:rsidR="005E75F0" w:rsidRPr="005E75F0" w:rsidRDefault="005E75F0" w:rsidP="005E75F0">
      <w:pPr>
        <w:pStyle w:val="Loendilik"/>
        <w:rPr>
          <w:szCs w:val="24"/>
        </w:rPr>
      </w:pPr>
    </w:p>
    <w:p w14:paraId="29F58219" w14:textId="7AF1F663" w:rsidR="005E75F0" w:rsidRDefault="005E75F0" w:rsidP="000A4D8F">
      <w:pPr>
        <w:pStyle w:val="Loendilik"/>
        <w:numPr>
          <w:ilvl w:val="0"/>
          <w:numId w:val="5"/>
        </w:numPr>
        <w:rPr>
          <w:szCs w:val="24"/>
        </w:rPr>
      </w:pPr>
      <w:r>
        <w:rPr>
          <w:szCs w:val="24"/>
        </w:rPr>
        <w:t>Hagiavaldusega seotud õigusabi töömaht kokku 25,9 tundi. Hageja on esitanud Harju Maakohtule väga sarnase aluse ja esemega hagid viie kostja vastu (käesoleva asi kaasaarvatud). Seda arvestades loeb kohus käesolevas tsiviilasjas hagi esitamiseks tehtud tööde põhjendatud töömahuks 15 tundi.</w:t>
      </w:r>
    </w:p>
    <w:p w14:paraId="5A783286" w14:textId="77777777" w:rsidR="005E75F0" w:rsidRPr="005E75F0" w:rsidRDefault="005E75F0" w:rsidP="005E75F0">
      <w:pPr>
        <w:pStyle w:val="Loendilik"/>
        <w:rPr>
          <w:szCs w:val="24"/>
        </w:rPr>
      </w:pPr>
    </w:p>
    <w:p w14:paraId="49D70F71" w14:textId="7A82CD43" w:rsidR="005E75F0" w:rsidRDefault="004B502E" w:rsidP="000A4D8F">
      <w:pPr>
        <w:pStyle w:val="Loendilik"/>
        <w:numPr>
          <w:ilvl w:val="0"/>
          <w:numId w:val="5"/>
        </w:numPr>
        <w:rPr>
          <w:szCs w:val="24"/>
        </w:rPr>
      </w:pPr>
      <w:r>
        <w:rPr>
          <w:szCs w:val="24"/>
        </w:rPr>
        <w:t>Õigusabikulude arvestustes on tõlketööd 2,2 tundi (27.03 ja 09.04). Tegemist ei ole õigusabikuluga. Tõlkekulude kohta on hageja esitanud eraldi arvestuse ja siin kattuvus puudub.</w:t>
      </w:r>
      <w:r w:rsidR="00351785">
        <w:rPr>
          <w:szCs w:val="24"/>
        </w:rPr>
        <w:t xml:space="preserve"> Kohus ei rahulda hageja taotlust tõlkekulude hüvitamiseks õigusabikuluna.</w:t>
      </w:r>
    </w:p>
    <w:p w14:paraId="107DF7EC" w14:textId="77777777" w:rsidR="00351785" w:rsidRPr="00351785" w:rsidRDefault="00351785" w:rsidP="00351785">
      <w:pPr>
        <w:pStyle w:val="Loendilik"/>
        <w:rPr>
          <w:szCs w:val="24"/>
        </w:rPr>
      </w:pPr>
    </w:p>
    <w:p w14:paraId="589CBFFB" w14:textId="37242339" w:rsidR="00351785" w:rsidRDefault="0005115D" w:rsidP="000A4D8F">
      <w:pPr>
        <w:pStyle w:val="Loendilik"/>
        <w:numPr>
          <w:ilvl w:val="0"/>
          <w:numId w:val="5"/>
        </w:numPr>
        <w:rPr>
          <w:szCs w:val="24"/>
        </w:rPr>
      </w:pPr>
      <w:r>
        <w:rPr>
          <w:szCs w:val="24"/>
        </w:rPr>
        <w:t>Õigusabikulude arvestustes on menetlusväliste dokumentide koostamise kulud 3,2 tundi (Sotsiaalministeeriumi ja Tervisekassa teavitamine, 31.05 ja 03.06). Tegemist ei ole hüvitamisele kuuluva menetluskuluga.</w:t>
      </w:r>
    </w:p>
    <w:p w14:paraId="43F93296" w14:textId="77777777" w:rsidR="0005115D" w:rsidRPr="0005115D" w:rsidRDefault="0005115D" w:rsidP="0005115D">
      <w:pPr>
        <w:pStyle w:val="Loendilik"/>
        <w:rPr>
          <w:szCs w:val="24"/>
        </w:rPr>
      </w:pPr>
    </w:p>
    <w:p w14:paraId="32355B38" w14:textId="78F2D390" w:rsidR="0005115D" w:rsidRDefault="00391BD1" w:rsidP="000A4D8F">
      <w:pPr>
        <w:pStyle w:val="Loendilik"/>
        <w:numPr>
          <w:ilvl w:val="0"/>
          <w:numId w:val="5"/>
        </w:numPr>
        <w:rPr>
          <w:szCs w:val="24"/>
        </w:rPr>
      </w:pPr>
      <w:r>
        <w:rPr>
          <w:szCs w:val="24"/>
        </w:rPr>
        <w:t>Hagi õigeks võtnud kostja vastusega tutvumise ja selle kohta seisukoha koostamise õigusabi mahuks</w:t>
      </w:r>
      <w:r w:rsidR="009111DB">
        <w:rPr>
          <w:szCs w:val="24"/>
        </w:rPr>
        <w:t xml:space="preserve"> on hageja</w:t>
      </w:r>
      <w:r>
        <w:rPr>
          <w:szCs w:val="24"/>
        </w:rPr>
        <w:t xml:space="preserve"> teata</w:t>
      </w:r>
      <w:r w:rsidR="009111DB">
        <w:rPr>
          <w:szCs w:val="24"/>
        </w:rPr>
        <w:t>n</w:t>
      </w:r>
      <w:r>
        <w:rPr>
          <w:szCs w:val="24"/>
        </w:rPr>
        <w:t xml:space="preserve">ud 17,1 tundi. Kostja vastuse (dtl 1428) ja hageja seisukoha (dtl 1450) sisu arvestades hindab kohus põhjendatud töömahuks 5 tundi. </w:t>
      </w:r>
    </w:p>
    <w:p w14:paraId="7F667E71" w14:textId="77777777" w:rsidR="004B502E" w:rsidRPr="004B502E" w:rsidRDefault="004B502E" w:rsidP="004B502E">
      <w:pPr>
        <w:pStyle w:val="Loendilik"/>
        <w:rPr>
          <w:szCs w:val="24"/>
        </w:rPr>
      </w:pPr>
    </w:p>
    <w:p w14:paraId="0D19C0D0" w14:textId="4CC48AF3" w:rsidR="009111DB" w:rsidRDefault="009111DB" w:rsidP="009111DB">
      <w:pPr>
        <w:pStyle w:val="Loendilik"/>
        <w:numPr>
          <w:ilvl w:val="0"/>
          <w:numId w:val="5"/>
        </w:numPr>
        <w:rPr>
          <w:szCs w:val="24"/>
        </w:rPr>
      </w:pPr>
      <w:r>
        <w:rPr>
          <w:szCs w:val="24"/>
        </w:rPr>
        <w:lastRenderedPageBreak/>
        <w:t xml:space="preserve">Menetluskulude nimekirja koostamise õigusabi mahuks on hageja teatanud 3 tundi. Avalduse (dtl 1482) sisu arvestades hindab kohus põhjendatud töömahuks 1 tund. </w:t>
      </w:r>
    </w:p>
    <w:p w14:paraId="30069320" w14:textId="77777777" w:rsidR="009111DB" w:rsidRPr="004B502E" w:rsidRDefault="009111DB" w:rsidP="009111DB">
      <w:pPr>
        <w:pStyle w:val="Loendilik"/>
        <w:rPr>
          <w:szCs w:val="24"/>
        </w:rPr>
      </w:pPr>
    </w:p>
    <w:p w14:paraId="4E4BE8FB" w14:textId="7A13199C" w:rsidR="009111DB" w:rsidRDefault="009111DB" w:rsidP="00C86DCA">
      <w:pPr>
        <w:pStyle w:val="Loendilik"/>
        <w:numPr>
          <w:ilvl w:val="0"/>
          <w:numId w:val="5"/>
        </w:numPr>
        <w:rPr>
          <w:szCs w:val="24"/>
        </w:rPr>
      </w:pPr>
      <w:r w:rsidRPr="009111DB">
        <w:rPr>
          <w:szCs w:val="24"/>
        </w:rPr>
        <w:t>Hageja on märkinud õigusabi töömahu summaks 77,8 tund</w:t>
      </w:r>
      <w:r w:rsidR="0026521F">
        <w:rPr>
          <w:szCs w:val="24"/>
        </w:rPr>
        <w:t>i</w:t>
      </w:r>
      <w:r w:rsidRPr="009111DB">
        <w:rPr>
          <w:szCs w:val="24"/>
        </w:rPr>
        <w:t xml:space="preserve">. Lahutades </w:t>
      </w:r>
      <w:r w:rsidR="00891937">
        <w:rPr>
          <w:szCs w:val="24"/>
        </w:rPr>
        <w:t>sellest</w:t>
      </w:r>
      <w:r w:rsidRPr="009111DB">
        <w:rPr>
          <w:szCs w:val="24"/>
        </w:rPr>
        <w:t xml:space="preserve"> eespool p-des 13-17 põhjendamatuks loetud ajakulu 30,4 tundi (10,9 + 2,2 + 3,2 + 12,1 + 2), loeb kohus hüvitamisele kuuluva õigusabi ajakuluks </w:t>
      </w:r>
      <w:r w:rsidR="00891937">
        <w:rPr>
          <w:szCs w:val="24"/>
        </w:rPr>
        <w:t>4</w:t>
      </w:r>
      <w:r w:rsidRPr="009111DB">
        <w:rPr>
          <w:szCs w:val="24"/>
        </w:rPr>
        <w:t xml:space="preserve">7,4 tundi ja hüvitamisele kuuluvaks kuluks vastavalt p-s 12 selgitatule </w:t>
      </w:r>
      <w:r w:rsidR="00891937">
        <w:rPr>
          <w:szCs w:val="24"/>
        </w:rPr>
        <w:t>11 850</w:t>
      </w:r>
      <w:r w:rsidRPr="009111DB">
        <w:rPr>
          <w:szCs w:val="24"/>
        </w:rPr>
        <w:t xml:space="preserve"> eurot (</w:t>
      </w:r>
      <w:r w:rsidR="00891937">
        <w:rPr>
          <w:szCs w:val="24"/>
        </w:rPr>
        <w:t>4</w:t>
      </w:r>
      <w:r w:rsidRPr="009111DB">
        <w:rPr>
          <w:szCs w:val="24"/>
        </w:rPr>
        <w:t xml:space="preserve">7,4 x 250). </w:t>
      </w:r>
    </w:p>
    <w:p w14:paraId="5135B342" w14:textId="77777777" w:rsidR="009111DB" w:rsidRPr="009111DB" w:rsidRDefault="009111DB" w:rsidP="009111DB">
      <w:pPr>
        <w:pStyle w:val="Loendilik"/>
        <w:rPr>
          <w:szCs w:val="24"/>
        </w:rPr>
      </w:pPr>
    </w:p>
    <w:p w14:paraId="09B185EC" w14:textId="3EB49CFB" w:rsidR="009111DB" w:rsidRDefault="009111DB" w:rsidP="00C86DCA">
      <w:pPr>
        <w:pStyle w:val="Loendilik"/>
        <w:numPr>
          <w:ilvl w:val="0"/>
          <w:numId w:val="5"/>
        </w:numPr>
        <w:rPr>
          <w:szCs w:val="24"/>
        </w:rPr>
      </w:pPr>
      <w:r>
        <w:rPr>
          <w:szCs w:val="24"/>
        </w:rPr>
        <w:t>Kokku mõistab kohus menetluskulude hüvitamiseks kostjalt hageja kasuks välja 1</w:t>
      </w:r>
      <w:r w:rsidR="00891937">
        <w:rPr>
          <w:szCs w:val="24"/>
        </w:rPr>
        <w:t>7</w:t>
      </w:r>
      <w:r>
        <w:rPr>
          <w:szCs w:val="24"/>
        </w:rPr>
        <w:t> </w:t>
      </w:r>
      <w:r w:rsidR="00891937">
        <w:rPr>
          <w:szCs w:val="24"/>
        </w:rPr>
        <w:t>6</w:t>
      </w:r>
      <w:r>
        <w:rPr>
          <w:szCs w:val="24"/>
        </w:rPr>
        <w:t xml:space="preserve">75 eurot (5070 + 580 + 175 + </w:t>
      </w:r>
      <w:r w:rsidR="00891937">
        <w:rPr>
          <w:szCs w:val="24"/>
        </w:rPr>
        <w:t>11 850</w:t>
      </w:r>
      <w:r>
        <w:rPr>
          <w:szCs w:val="24"/>
        </w:rPr>
        <w:t>).</w:t>
      </w:r>
    </w:p>
    <w:p w14:paraId="7A6B52B2" w14:textId="77777777" w:rsidR="009111DB" w:rsidRPr="009111DB" w:rsidRDefault="009111DB" w:rsidP="009111DB">
      <w:pPr>
        <w:pStyle w:val="Loendilik"/>
        <w:rPr>
          <w:szCs w:val="24"/>
        </w:rPr>
      </w:pPr>
    </w:p>
    <w:p w14:paraId="6AF3343E" w14:textId="315CDB90" w:rsidR="00020D51" w:rsidRDefault="00020D51" w:rsidP="00020D51">
      <w:pPr>
        <w:pStyle w:val="Loendilik"/>
        <w:widowControl/>
        <w:numPr>
          <w:ilvl w:val="0"/>
          <w:numId w:val="5"/>
        </w:numPr>
        <w:overflowPunct/>
        <w:autoSpaceDE/>
        <w:autoSpaceDN/>
        <w:adjustRightInd/>
        <w:spacing w:before="0" w:after="160" w:line="259" w:lineRule="auto"/>
        <w:rPr>
          <w:szCs w:val="24"/>
        </w:rPr>
      </w:pPr>
      <w:r w:rsidRPr="00AD2CF5">
        <w:rPr>
          <w:szCs w:val="24"/>
        </w:rPr>
        <w:t xml:space="preserve">Hageja taotluse alusel (dtl </w:t>
      </w:r>
      <w:r w:rsidR="009111DB">
        <w:rPr>
          <w:szCs w:val="24"/>
        </w:rPr>
        <w:t>1482</w:t>
      </w:r>
      <w:r w:rsidRPr="00AD2CF5">
        <w:rPr>
          <w:szCs w:val="24"/>
        </w:rPr>
        <w:t>) ja juhindudes TsMS § 177 lg-st 4</w:t>
      </w:r>
      <w:r>
        <w:rPr>
          <w:szCs w:val="24"/>
        </w:rPr>
        <w:t>,</w:t>
      </w:r>
      <w:r w:rsidRPr="00AD2CF5">
        <w:rPr>
          <w:szCs w:val="24"/>
        </w:rPr>
        <w:t xml:space="preserve"> märgib kohus lahendis, et hüvitamisele kuuluvatelt menetluskuludelt tuleb tasuda viivist VÕS § 113 lg 1 teises lauses ettenähtud määras lahendi jõustumisest kuni täitmiseni.  </w:t>
      </w:r>
    </w:p>
    <w:p w14:paraId="6D581208" w14:textId="77777777" w:rsidR="001E61A5" w:rsidRPr="009D2CCA" w:rsidRDefault="001E61A5" w:rsidP="001E61A5">
      <w:pPr>
        <w:pStyle w:val="Loendilik"/>
        <w:spacing w:after="0" w:line="276" w:lineRule="auto"/>
        <w:ind w:left="643"/>
        <w:contextualSpacing w:val="0"/>
        <w:rPr>
          <w:bCs/>
          <w:color w:val="000000"/>
          <w:szCs w:val="24"/>
        </w:rPr>
      </w:pPr>
    </w:p>
    <w:p w14:paraId="4E906C56" w14:textId="4F70AFC8" w:rsidR="00936239" w:rsidRDefault="00923701" w:rsidP="000A4D8F">
      <w:pPr>
        <w:pStyle w:val="Loendilik"/>
        <w:widowControl/>
        <w:numPr>
          <w:ilvl w:val="0"/>
          <w:numId w:val="5"/>
        </w:numPr>
        <w:overflowPunct/>
        <w:spacing w:before="0" w:after="0" w:line="276" w:lineRule="auto"/>
        <w:rPr>
          <w:bCs/>
          <w:color w:val="000000"/>
          <w:szCs w:val="24"/>
        </w:rPr>
      </w:pPr>
      <w:r>
        <w:rPr>
          <w:bCs/>
          <w:color w:val="000000"/>
          <w:szCs w:val="24"/>
        </w:rPr>
        <w:t xml:space="preserve">08.04.2024 määrusega kohaldatud hagi tagamise abinõu kehtib määruse kohaselt tsiviilasja lahendava kohtlahendi jõustumiseni. Käesoleva otsuse jõustumisel lakkab hagi tagamise abinõu seega kehtimast.  </w:t>
      </w:r>
    </w:p>
    <w:p w14:paraId="159906DF" w14:textId="77777777" w:rsidR="00936239" w:rsidRPr="00936239" w:rsidRDefault="00936239" w:rsidP="00936239">
      <w:pPr>
        <w:pStyle w:val="Loendilik"/>
        <w:rPr>
          <w:bCs/>
          <w:color w:val="000000"/>
          <w:szCs w:val="24"/>
        </w:rPr>
      </w:pPr>
    </w:p>
    <w:p w14:paraId="66B8BFA7" w14:textId="6CD8A720" w:rsidR="001E61A5" w:rsidRPr="009D2CCA" w:rsidRDefault="001E61A5" w:rsidP="000A4D8F">
      <w:pPr>
        <w:pStyle w:val="Loendilik"/>
        <w:widowControl/>
        <w:numPr>
          <w:ilvl w:val="0"/>
          <w:numId w:val="5"/>
        </w:numPr>
        <w:overflowPunct/>
        <w:spacing w:before="0" w:after="0" w:line="276" w:lineRule="auto"/>
        <w:rPr>
          <w:bCs/>
          <w:color w:val="000000"/>
          <w:szCs w:val="24"/>
        </w:rPr>
      </w:pPr>
      <w:r w:rsidRPr="009D2CCA">
        <w:rPr>
          <w:bCs/>
          <w:color w:val="000000"/>
          <w:szCs w:val="24"/>
        </w:rPr>
        <w:t>Juhindudes TsMS § 468 lg 1 p 1 tunnistab kohus omaksvõtul põhineva kohtuotsuse omal algatusel tagatiseta viivitamata täidetavaks.</w:t>
      </w:r>
    </w:p>
    <w:p w14:paraId="537A0B86" w14:textId="6A32B8EE" w:rsidR="00A25FC4" w:rsidRPr="009D2CCA" w:rsidRDefault="00A25FC4" w:rsidP="00A25FC4">
      <w:pPr>
        <w:pStyle w:val="Loendilik"/>
        <w:widowControl/>
        <w:overflowPunct/>
        <w:spacing w:before="0" w:after="0" w:line="276" w:lineRule="auto"/>
        <w:rPr>
          <w:bCs/>
          <w:color w:val="000000"/>
          <w:szCs w:val="24"/>
        </w:rPr>
      </w:pPr>
    </w:p>
    <w:p w14:paraId="1FBF13E0" w14:textId="77777777" w:rsidR="00A25FC4" w:rsidRPr="009D2CCA" w:rsidRDefault="00A25FC4" w:rsidP="00A25FC4">
      <w:pPr>
        <w:pStyle w:val="Loendilik"/>
        <w:rPr>
          <w:bCs/>
          <w:color w:val="000000"/>
          <w:szCs w:val="24"/>
        </w:rPr>
      </w:pPr>
    </w:p>
    <w:p w14:paraId="2295F4AB" w14:textId="576134FD" w:rsidR="002945A9" w:rsidRPr="009D2CCA" w:rsidRDefault="00515A0D" w:rsidP="006871CD">
      <w:pPr>
        <w:spacing w:before="0" w:after="0"/>
        <w:rPr>
          <w:i/>
          <w:szCs w:val="24"/>
        </w:rPr>
      </w:pPr>
      <w:r>
        <w:rPr>
          <w:i/>
          <w:szCs w:val="24"/>
        </w:rPr>
        <w:t>(</w:t>
      </w:r>
      <w:r w:rsidR="002945A9" w:rsidRPr="009D2CCA">
        <w:rPr>
          <w:i/>
          <w:szCs w:val="24"/>
        </w:rPr>
        <w:t>allkirjastatud digitaalselt</w:t>
      </w:r>
      <w:r>
        <w:rPr>
          <w:i/>
          <w:szCs w:val="24"/>
        </w:rPr>
        <w:t>)</w:t>
      </w:r>
    </w:p>
    <w:p w14:paraId="2295F4AC" w14:textId="77777777" w:rsidR="002945A9" w:rsidRPr="009D2CCA" w:rsidRDefault="00891937" w:rsidP="006871CD">
      <w:pPr>
        <w:spacing w:before="0" w:after="0"/>
        <w:rPr>
          <w:szCs w:val="24"/>
        </w:rPr>
      </w:pPr>
      <w:sdt>
        <w:sdtPr>
          <w:rPr>
            <w:szCs w:val="24"/>
          </w:rPr>
          <w:alias w:val="KohtukoosseisuEesistuja"/>
          <w:tag w:val="KohtukoosseisuEesistuja"/>
          <w:id w:val="-500351589"/>
          <w:text/>
        </w:sdtPr>
        <w:sdtEndPr/>
        <w:sdtContent>
          <w:r w:rsidR="00587ABA" w:rsidRPr="009D2CCA">
            <w:rPr>
              <w:szCs w:val="24"/>
            </w:rPr>
            <w:t>Ants Mailend</w:t>
          </w:r>
        </w:sdtContent>
      </w:sdt>
    </w:p>
    <w:p w14:paraId="2295F4AD" w14:textId="1C8A960F" w:rsidR="002945A9" w:rsidRPr="009D2CCA" w:rsidRDefault="00A25FC4" w:rsidP="006871CD">
      <w:pPr>
        <w:spacing w:before="0" w:after="0"/>
        <w:rPr>
          <w:szCs w:val="24"/>
        </w:rPr>
      </w:pPr>
      <w:r w:rsidRPr="009D2CCA">
        <w:rPr>
          <w:szCs w:val="24"/>
        </w:rPr>
        <w:t>k</w:t>
      </w:r>
      <w:r w:rsidR="002945A9" w:rsidRPr="009D2CCA">
        <w:rPr>
          <w:szCs w:val="24"/>
        </w:rPr>
        <w:t>ohtunik</w:t>
      </w:r>
    </w:p>
    <w:p w14:paraId="2295F4AE" w14:textId="77777777" w:rsidR="002945A9" w:rsidRPr="009D2CCA" w:rsidRDefault="002945A9" w:rsidP="00991759">
      <w:pPr>
        <w:rPr>
          <w:szCs w:val="24"/>
        </w:rPr>
      </w:pPr>
    </w:p>
    <w:p w14:paraId="2295F4AF" w14:textId="77777777" w:rsidR="002945A9" w:rsidRDefault="002945A9"/>
    <w:sectPr w:rsidR="002945A9" w:rsidSect="006871CD">
      <w:footerReference w:type="default" r:id="rId8"/>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5F4B4" w14:textId="77777777" w:rsidR="006871CD" w:rsidRDefault="006871CD" w:rsidP="006871CD">
      <w:pPr>
        <w:spacing w:before="0" w:after="0"/>
      </w:pPr>
      <w:r>
        <w:separator/>
      </w:r>
    </w:p>
  </w:endnote>
  <w:endnote w:type="continuationSeparator" w:id="0">
    <w:p w14:paraId="2295F4B5" w14:textId="77777777" w:rsidR="006871CD" w:rsidRDefault="006871CD" w:rsidP="006871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F4B7" w14:textId="6F9ED207" w:rsidR="006871CD" w:rsidRDefault="006871CD">
    <w:pPr>
      <w:pStyle w:val="Jalus"/>
      <w:jc w:val="right"/>
    </w:pPr>
  </w:p>
  <w:p w14:paraId="2295F4B8" w14:textId="77777777" w:rsidR="006871CD" w:rsidRDefault="006871C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F4B2" w14:textId="77777777" w:rsidR="006871CD" w:rsidRDefault="006871CD" w:rsidP="006871CD">
      <w:pPr>
        <w:spacing w:before="0" w:after="0"/>
      </w:pPr>
      <w:r>
        <w:separator/>
      </w:r>
    </w:p>
  </w:footnote>
  <w:footnote w:type="continuationSeparator" w:id="0">
    <w:p w14:paraId="2295F4B3" w14:textId="77777777" w:rsidR="006871CD" w:rsidRDefault="006871CD" w:rsidP="006871C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0050D"/>
    <w:multiLevelType w:val="hybridMultilevel"/>
    <w:tmpl w:val="8F369902"/>
    <w:lvl w:ilvl="0" w:tplc="BD34FD56">
      <w:start w:val="13"/>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1968519F"/>
    <w:multiLevelType w:val="hybridMultilevel"/>
    <w:tmpl w:val="8A98821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31596120"/>
    <w:multiLevelType w:val="multilevel"/>
    <w:tmpl w:val="BCC6B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87340B"/>
    <w:multiLevelType w:val="hybridMultilevel"/>
    <w:tmpl w:val="DC569032"/>
    <w:lvl w:ilvl="0" w:tplc="0425000F">
      <w:start w:val="1"/>
      <w:numFmt w:val="decimal"/>
      <w:lvlText w:val="%1."/>
      <w:lvlJc w:val="left"/>
      <w:pPr>
        <w:ind w:left="64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0205F13"/>
    <w:multiLevelType w:val="multilevel"/>
    <w:tmpl w:val="BCC6B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7715314"/>
    <w:multiLevelType w:val="multilevel"/>
    <w:tmpl w:val="BCC6B1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DCE4072"/>
    <w:multiLevelType w:val="multilevel"/>
    <w:tmpl w:val="37B2045E"/>
    <w:lvl w:ilvl="0">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6683525">
    <w:abstractNumId w:val="6"/>
  </w:num>
  <w:num w:numId="2" w16cid:durableId="1494370007">
    <w:abstractNumId w:val="5"/>
  </w:num>
  <w:num w:numId="3" w16cid:durableId="1097553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255476">
    <w:abstractNumId w:val="1"/>
  </w:num>
  <w:num w:numId="5" w16cid:durableId="860516000">
    <w:abstractNumId w:val="2"/>
  </w:num>
  <w:num w:numId="6" w16cid:durableId="1792086386">
    <w:abstractNumId w:val="3"/>
  </w:num>
  <w:num w:numId="7" w16cid:durableId="92824973">
    <w:abstractNumId w:val="4"/>
  </w:num>
  <w:num w:numId="8" w16cid:durableId="1721513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59"/>
    <w:rsid w:val="00003540"/>
    <w:rsid w:val="00020D51"/>
    <w:rsid w:val="0003089F"/>
    <w:rsid w:val="00042F52"/>
    <w:rsid w:val="0005115D"/>
    <w:rsid w:val="000756F3"/>
    <w:rsid w:val="000A4D8F"/>
    <w:rsid w:val="000A7775"/>
    <w:rsid w:val="000C596C"/>
    <w:rsid w:val="000D15AB"/>
    <w:rsid w:val="000E348D"/>
    <w:rsid w:val="000E7F5F"/>
    <w:rsid w:val="000F3A6F"/>
    <w:rsid w:val="001429C6"/>
    <w:rsid w:val="00144AED"/>
    <w:rsid w:val="001934D2"/>
    <w:rsid w:val="00195CF3"/>
    <w:rsid w:val="001B1735"/>
    <w:rsid w:val="001B47C9"/>
    <w:rsid w:val="001E61A5"/>
    <w:rsid w:val="001F3F19"/>
    <w:rsid w:val="0023740C"/>
    <w:rsid w:val="0026521F"/>
    <w:rsid w:val="00270587"/>
    <w:rsid w:val="00292295"/>
    <w:rsid w:val="002945A9"/>
    <w:rsid w:val="00296407"/>
    <w:rsid w:val="002F052D"/>
    <w:rsid w:val="002F4CED"/>
    <w:rsid w:val="002F6ABE"/>
    <w:rsid w:val="00316691"/>
    <w:rsid w:val="00323892"/>
    <w:rsid w:val="003366CD"/>
    <w:rsid w:val="00351785"/>
    <w:rsid w:val="003547A8"/>
    <w:rsid w:val="00367F00"/>
    <w:rsid w:val="00391BD1"/>
    <w:rsid w:val="00395D7F"/>
    <w:rsid w:val="003966DE"/>
    <w:rsid w:val="003B503B"/>
    <w:rsid w:val="003B6234"/>
    <w:rsid w:val="003D0405"/>
    <w:rsid w:val="004179A7"/>
    <w:rsid w:val="00430648"/>
    <w:rsid w:val="00441FFA"/>
    <w:rsid w:val="00456595"/>
    <w:rsid w:val="004A1718"/>
    <w:rsid w:val="004A4AC4"/>
    <w:rsid w:val="004B4F15"/>
    <w:rsid w:val="004B502E"/>
    <w:rsid w:val="004D7647"/>
    <w:rsid w:val="0051308C"/>
    <w:rsid w:val="00515A0D"/>
    <w:rsid w:val="00562427"/>
    <w:rsid w:val="00574311"/>
    <w:rsid w:val="005778DD"/>
    <w:rsid w:val="00587ABA"/>
    <w:rsid w:val="005B47B3"/>
    <w:rsid w:val="005B7515"/>
    <w:rsid w:val="005D238F"/>
    <w:rsid w:val="005E75F0"/>
    <w:rsid w:val="00614B4D"/>
    <w:rsid w:val="0067727E"/>
    <w:rsid w:val="0067793C"/>
    <w:rsid w:val="0068405B"/>
    <w:rsid w:val="006871CD"/>
    <w:rsid w:val="00697814"/>
    <w:rsid w:val="006B3027"/>
    <w:rsid w:val="006C41F1"/>
    <w:rsid w:val="00720CB6"/>
    <w:rsid w:val="007604EA"/>
    <w:rsid w:val="00767C78"/>
    <w:rsid w:val="007812CB"/>
    <w:rsid w:val="007F3A0F"/>
    <w:rsid w:val="00814FF5"/>
    <w:rsid w:val="0082028A"/>
    <w:rsid w:val="00862194"/>
    <w:rsid w:val="00891937"/>
    <w:rsid w:val="00894526"/>
    <w:rsid w:val="00896979"/>
    <w:rsid w:val="008A7EEE"/>
    <w:rsid w:val="008D4CB8"/>
    <w:rsid w:val="009111DB"/>
    <w:rsid w:val="0091301C"/>
    <w:rsid w:val="00923701"/>
    <w:rsid w:val="009263EB"/>
    <w:rsid w:val="00936239"/>
    <w:rsid w:val="00964F17"/>
    <w:rsid w:val="00972E36"/>
    <w:rsid w:val="0097514A"/>
    <w:rsid w:val="00991759"/>
    <w:rsid w:val="009A5211"/>
    <w:rsid w:val="009D2CCA"/>
    <w:rsid w:val="009F4B51"/>
    <w:rsid w:val="00A25FC4"/>
    <w:rsid w:val="00A35CFC"/>
    <w:rsid w:val="00A626DE"/>
    <w:rsid w:val="00A70E69"/>
    <w:rsid w:val="00A71ED0"/>
    <w:rsid w:val="00A93FCB"/>
    <w:rsid w:val="00AA3A6F"/>
    <w:rsid w:val="00AB2A69"/>
    <w:rsid w:val="00AB4868"/>
    <w:rsid w:val="00AC6B57"/>
    <w:rsid w:val="00AD2CF5"/>
    <w:rsid w:val="00AE6EB1"/>
    <w:rsid w:val="00B050B8"/>
    <w:rsid w:val="00B13809"/>
    <w:rsid w:val="00B17FCA"/>
    <w:rsid w:val="00B52C41"/>
    <w:rsid w:val="00B70D65"/>
    <w:rsid w:val="00BC3BE4"/>
    <w:rsid w:val="00BF23D3"/>
    <w:rsid w:val="00C137B1"/>
    <w:rsid w:val="00C2279A"/>
    <w:rsid w:val="00C22FE8"/>
    <w:rsid w:val="00C343C0"/>
    <w:rsid w:val="00C52A64"/>
    <w:rsid w:val="00C54D82"/>
    <w:rsid w:val="00C57925"/>
    <w:rsid w:val="00CA6736"/>
    <w:rsid w:val="00CC2345"/>
    <w:rsid w:val="00CE20D0"/>
    <w:rsid w:val="00CE4DB3"/>
    <w:rsid w:val="00CF750A"/>
    <w:rsid w:val="00D02400"/>
    <w:rsid w:val="00D11DAB"/>
    <w:rsid w:val="00D42059"/>
    <w:rsid w:val="00D66737"/>
    <w:rsid w:val="00D73BE7"/>
    <w:rsid w:val="00D8789D"/>
    <w:rsid w:val="00D9788A"/>
    <w:rsid w:val="00DA1F69"/>
    <w:rsid w:val="00DA684E"/>
    <w:rsid w:val="00DE2BF9"/>
    <w:rsid w:val="00DE3E32"/>
    <w:rsid w:val="00DE684A"/>
    <w:rsid w:val="00DF0372"/>
    <w:rsid w:val="00E036BC"/>
    <w:rsid w:val="00E10FB0"/>
    <w:rsid w:val="00E515F3"/>
    <w:rsid w:val="00E51922"/>
    <w:rsid w:val="00EE34A4"/>
    <w:rsid w:val="00F26DEC"/>
    <w:rsid w:val="00F55DA7"/>
    <w:rsid w:val="00F645A0"/>
    <w:rsid w:val="00F8451D"/>
    <w:rsid w:val="00FB29B3"/>
    <w:rsid w:val="00FD6141"/>
    <w:rsid w:val="00FD75FE"/>
    <w:rsid w:val="00FF38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95F470"/>
  <w15:docId w15:val="{109D23C7-F219-4801-8AB4-D012AA5E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0"/>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871CD"/>
    <w:pPr>
      <w:widowControl w:val="0"/>
      <w:overflowPunct w:val="0"/>
      <w:autoSpaceDE w:val="0"/>
      <w:autoSpaceDN w:val="0"/>
      <w:adjustRightInd w:val="0"/>
      <w:spacing w:before="120" w:after="120"/>
      <w:jc w:val="both"/>
    </w:pPr>
    <w:rPr>
      <w:sz w:val="24"/>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rsid w:val="00991759"/>
    <w:rPr>
      <w:rFonts w:cs="Times New Roman"/>
      <w:color w:val="0000FF"/>
      <w:u w:val="single"/>
    </w:rPr>
  </w:style>
  <w:style w:type="paragraph" w:styleId="Pis">
    <w:name w:val="header"/>
    <w:basedOn w:val="Normaallaad"/>
    <w:link w:val="PisMrk"/>
    <w:uiPriority w:val="99"/>
    <w:rsid w:val="00991759"/>
    <w:pPr>
      <w:tabs>
        <w:tab w:val="center" w:pos="4153"/>
        <w:tab w:val="right" w:pos="8306"/>
      </w:tabs>
    </w:pPr>
  </w:style>
  <w:style w:type="character" w:customStyle="1" w:styleId="PisMrk">
    <w:name w:val="Päis Märk"/>
    <w:basedOn w:val="Liguvaikefont"/>
    <w:link w:val="Pis"/>
    <w:uiPriority w:val="99"/>
    <w:locked/>
    <w:rsid w:val="00991759"/>
    <w:rPr>
      <w:rFonts w:cs="Times New Roman"/>
      <w:sz w:val="24"/>
    </w:rPr>
  </w:style>
  <w:style w:type="paragraph" w:styleId="Loendilik">
    <w:name w:val="List Paragraph"/>
    <w:basedOn w:val="Normaallaad"/>
    <w:uiPriority w:val="34"/>
    <w:qFormat/>
    <w:rsid w:val="00991759"/>
    <w:pPr>
      <w:ind w:left="720"/>
      <w:contextualSpacing/>
    </w:pPr>
  </w:style>
  <w:style w:type="paragraph" w:styleId="Jutumullitekst">
    <w:name w:val="Balloon Text"/>
    <w:basedOn w:val="Normaallaad"/>
    <w:link w:val="JutumullitekstMrk"/>
    <w:uiPriority w:val="99"/>
    <w:rsid w:val="00991759"/>
    <w:rPr>
      <w:rFonts w:ascii="Tahoma" w:hAnsi="Tahoma" w:cs="Tahoma"/>
      <w:sz w:val="16"/>
      <w:szCs w:val="16"/>
    </w:rPr>
  </w:style>
  <w:style w:type="character" w:customStyle="1" w:styleId="JutumullitekstMrk">
    <w:name w:val="Jutumullitekst Märk"/>
    <w:basedOn w:val="Liguvaikefont"/>
    <w:link w:val="Jutumullitekst"/>
    <w:uiPriority w:val="99"/>
    <w:locked/>
    <w:rsid w:val="00991759"/>
    <w:rPr>
      <w:rFonts w:ascii="Tahoma" w:hAnsi="Tahoma" w:cs="Tahoma"/>
      <w:sz w:val="16"/>
      <w:szCs w:val="16"/>
    </w:rPr>
  </w:style>
  <w:style w:type="paragraph" w:styleId="Jalus">
    <w:name w:val="footer"/>
    <w:basedOn w:val="Normaallaad"/>
    <w:link w:val="JalusMrk"/>
    <w:uiPriority w:val="99"/>
    <w:unhideWhenUsed/>
    <w:rsid w:val="006871CD"/>
    <w:pPr>
      <w:tabs>
        <w:tab w:val="center" w:pos="4536"/>
        <w:tab w:val="right" w:pos="9072"/>
      </w:tabs>
      <w:spacing w:before="0" w:after="0"/>
    </w:pPr>
  </w:style>
  <w:style w:type="character" w:customStyle="1" w:styleId="JalusMrk">
    <w:name w:val="Jalus Märk"/>
    <w:basedOn w:val="Liguvaikefont"/>
    <w:link w:val="Jalus"/>
    <w:uiPriority w:val="99"/>
    <w:rsid w:val="006871CD"/>
    <w:rPr>
      <w:sz w:val="24"/>
      <w:szCs w:val="20"/>
    </w:rPr>
  </w:style>
  <w:style w:type="character" w:customStyle="1" w:styleId="h1">
    <w:name w:val="h1"/>
    <w:basedOn w:val="Liguvaikefont"/>
    <w:rsid w:val="00195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011818">
      <w:bodyDiv w:val="1"/>
      <w:marLeft w:val="0"/>
      <w:marRight w:val="0"/>
      <w:marTop w:val="0"/>
      <w:marBottom w:val="0"/>
      <w:divBdr>
        <w:top w:val="none" w:sz="0" w:space="0" w:color="auto"/>
        <w:left w:val="none" w:sz="0" w:space="0" w:color="auto"/>
        <w:bottom w:val="none" w:sz="0" w:space="0" w:color="auto"/>
        <w:right w:val="none" w:sz="0" w:space="0" w:color="auto"/>
      </w:divBdr>
      <w:divsChild>
        <w:div w:id="1583174464">
          <w:marLeft w:val="0"/>
          <w:marRight w:val="0"/>
          <w:marTop w:val="0"/>
          <w:marBottom w:val="0"/>
          <w:divBdr>
            <w:top w:val="none" w:sz="0" w:space="0" w:color="auto"/>
            <w:left w:val="none" w:sz="0" w:space="0" w:color="auto"/>
            <w:bottom w:val="none" w:sz="0" w:space="0" w:color="auto"/>
            <w:right w:val="none" w:sz="0" w:space="0" w:color="auto"/>
          </w:divBdr>
        </w:div>
        <w:div w:id="1369254286">
          <w:marLeft w:val="0"/>
          <w:marRight w:val="0"/>
          <w:marTop w:val="0"/>
          <w:marBottom w:val="0"/>
          <w:divBdr>
            <w:top w:val="none" w:sz="0" w:space="0" w:color="auto"/>
            <w:left w:val="none" w:sz="0" w:space="0" w:color="auto"/>
            <w:bottom w:val="none" w:sz="0" w:space="0" w:color="auto"/>
            <w:right w:val="none" w:sz="0" w:space="0" w:color="auto"/>
          </w:divBdr>
        </w:div>
      </w:divsChild>
    </w:div>
    <w:div w:id="1774472126">
      <w:bodyDiv w:val="1"/>
      <w:marLeft w:val="0"/>
      <w:marRight w:val="0"/>
      <w:marTop w:val="0"/>
      <w:marBottom w:val="0"/>
      <w:divBdr>
        <w:top w:val="none" w:sz="0" w:space="0" w:color="auto"/>
        <w:left w:val="none" w:sz="0" w:space="0" w:color="auto"/>
        <w:bottom w:val="none" w:sz="0" w:space="0" w:color="auto"/>
        <w:right w:val="none" w:sz="0" w:space="0" w:color="auto"/>
      </w:divBdr>
      <w:divsChild>
        <w:div w:id="1524394524">
          <w:marLeft w:val="0"/>
          <w:marRight w:val="0"/>
          <w:marTop w:val="0"/>
          <w:marBottom w:val="0"/>
          <w:divBdr>
            <w:top w:val="none" w:sz="0" w:space="0" w:color="auto"/>
            <w:left w:val="none" w:sz="0" w:space="0" w:color="auto"/>
            <w:bottom w:val="none" w:sz="0" w:space="0" w:color="auto"/>
            <w:right w:val="none" w:sz="0" w:space="0" w:color="auto"/>
          </w:divBdr>
        </w:div>
        <w:div w:id="1441951946">
          <w:marLeft w:val="0"/>
          <w:marRight w:val="0"/>
          <w:marTop w:val="0"/>
          <w:marBottom w:val="0"/>
          <w:divBdr>
            <w:top w:val="none" w:sz="0" w:space="0" w:color="auto"/>
            <w:left w:val="none" w:sz="0" w:space="0" w:color="auto"/>
            <w:bottom w:val="none" w:sz="0" w:space="0" w:color="auto"/>
            <w:right w:val="none" w:sz="0" w:space="0" w:color="auto"/>
          </w:divBdr>
        </w:div>
        <w:div w:id="663900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4</Pages>
  <Words>996</Words>
  <Characters>6664</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 Makko</dc:creator>
  <cp:keywords/>
  <dc:description/>
  <cp:lastModifiedBy>Ants Mailend</cp:lastModifiedBy>
  <cp:revision>45</cp:revision>
  <dcterms:created xsi:type="dcterms:W3CDTF">2024-06-20T06:57:00Z</dcterms:created>
  <dcterms:modified xsi:type="dcterms:W3CDTF">2024-07-08T11:18:00Z</dcterms:modified>
</cp:coreProperties>
</file>